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Design Document: Commercial Loan Policy Check</w:t>
      </w:r>
    </w:p>
    <w:p>
      <w:pPr>
        <w:spacing w:after="80" w:before="120"/>
      </w:pPr>
      <w:r>
        <w:rPr>
          <w:b/>
          <w:bCs/>
          <w:color w:val="1F3864"/>
        </w:rPr>
        <w:t xml:space="preserve">Document control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</w:tblGrid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Technical Design Document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Commercial Loan Policy Check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1.0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Approved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IT lead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vivek (IT lead)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Approved 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19 October 2026 at 11:18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Written by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IT lead agent via GitHub Copilot (copilot/claude-fable-5.1)</w:t>
            </w:r>
          </w:p>
        </w:tc>
      </w:tr>
      <w:tr>
        <w:tc>
          <w:tcPr>
            <w:tcW w:type="pct" w:w="28%"/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Template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standard/tdd.md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Summary</w:t>
      </w:r>
    </w:p>
    <w:p>
      <w:r>
        <w:t xml:space="preserve">24 technical design items covering 24 functional design items.</w:t>
      </w:r>
    </w:p>
    <w:p>
      <w:pPr>
        <w:pStyle w:val="Heading1"/>
      </w:pPr>
      <w:r>
        <w:t xml:space="preserve">Solution overview</w:t>
      </w:r>
    </w:p>
    <w:p>
      <w:r>
        <w:t xml:space="preserve">The new policy-check system receives an application submission from the application-submission system and processes the policy rules. It stores application inputs and calculated outcomes in logical policy-check record and result tables, presents the summary and results, and stores exception requests and decisions in a logical exception record table. The source system and physical table names are not provided. [FDD FD-01–FD-20; DSD DS-01–DS-31]</w:t>
      </w:r>
    </w:p>
    <w:p>
      <w:r>
        <w:t xml:space="preserve">A separate migration load reads the legacy checklist file and writes eligible rows to policy-check history. It migrates rows submitted in the three years before go-live and maps the specified legacy fields. [BRD FR-21–FR-22; intake Q4; DSD DS-09–DS-11, DS-32–DS-38]</w:t>
      </w:r>
    </w:p>
    <w:p>
      <w:r>
        <w:t xml:space="preserve">The policy-check system must restrict results to RMs and credit staff and retain records of every policy check and decision. The provided material does not define a retention period, physical schema, interface protocol, or operating schedule. [BRD FR-19–FR-20]</w:t>
      </w:r>
    </w:p>
    <w:p>
      <w:pPr>
        <w:pStyle w:val="Heading1"/>
      </w:pPr>
      <w:r>
        <w:t xml:space="preserve">Technical design items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TDD ID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Design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Covers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Submission interface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On RM submission for policy checking, invoke the policy-check system with the application data. Source system, interface contract, and physical tables are ASSUMPTION: not supplied. [BRD FR-01; FDD FD-01]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DA-01–DA-08; policy-check record table (ASSUMPTION)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FD-01; DA-01–DA-08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DSCR rule processor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Evaluate and record the DSCR outcome using DSD mappings DS-13, DS-17, DS-21, and DS-25. [BRD FR-02; FDD FD-02]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DA-05, DA-13, DA-17, DA-21, DA-25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FD-02; DA-05, DA-13, DA-17, DA-21, DA-25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LTV rule processor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For real-estate collateral, evaluate and record the LTV outcome using DSD mappings DS-14, DS-18, DS-22, and DS-26. Handling for other collateral types remains unresolved; do not infer an outcome. [BRD FR-03; FDD FD-03; intake Q3]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DA-04, DA-06, DA-14, DA-18, DA-22, DA-26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FD-03; DA-04, DA-06, DA-14, DA-18, DA-22, DA-26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Exposure rule processor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Calculate and evaluate total borrower exposure using DSD mappings DS-12, DS-15, DS-19, DS-23, and DS-27. [BRD FR-04; FDD FD-04]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DA-03, DA-07, DA-12, DA-15, DA-19, DA-23, DA-27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FD-04; DA-03, DA-07, DA-12, DA-15, DA-19, DA-23, DA-27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Eligible risk-rating processor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Record the risk-rating outcome for ratings 1 to 6 using DSD mappings DS-16 and DS-28. [BRD FR-05; FDD FD-05]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DA-08, DA-16, DA-28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FD-05; DA-08, DA-16, DA-28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Risk-rating decline processor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Decline ratings of 7 or worse and do not expose an exception path, using DSD mappings DS-16, DS-20, and DS-28. [BRD FR-06; intake Q2; FDD FD-06]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DA-08, DA-16, DA-20, DA-24, DA-28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FD-06; DA-08, DA-16, DA-20, DA-24, DA-28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Exception eligibility gate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Require an exception decision before a non-declined loan with a failed rule can proceed. Suppress the exception path for declined loans. [BRD FR-07; intake Q2; FDD FD-07]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Rule outcomes DA-13–DA-16; decision DA-31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FD-07; DA-13–DA-16, DA-31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Senior officer routing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exception decisions to a senior credit officer when the loan amount is above $5M, using DSD mapping DS-30. [BRD FR-08; intake Q1; FDD FD-08]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DA-03, DA-30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FD-08; DA-03, DA-30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TD-09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Credit officer routing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Assign exception decisions to a credit officer when the loan amount is $5M or less, using DSD mapping DS-30. [BRD FR-09; intake Q1; FDD FD-09]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DA-03, DA-30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FD-09; DA-03, DA-30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Application summary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Display borrower name, loan ID, amount, collateral type, DSCR, LTV, existing exposure, and risk rating from the policy-check record. [BRD FR-10; FDD FD-10]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DA-01–DA-08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FD-10; DA-01–DA-08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Summary submission action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the “Submit for policy check” action and connect it to the submission interface in TD-01. [BRD FR-11; FDD FD-11]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Application data DA-01–DA-08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FD-11; DA-01–DA-08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 results display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Display a Pass or Fail row for each DSCR, LTV, exposure, and risk-rating rule using the stored outcomes. [BRD FR-12; FDD FD-12]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DA-13–DA-16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FD-12; DA-13–DA-16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Failed-rule details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For each failed rule, display its reason, actual value, and limit from the stored result data. [BRD FR-13; FDD FD-13]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DA-17–DA-28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FD-13; DA-17–DA-28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Exception action visibility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Show “Request exception” only when a rule fails and the loan is not declined. [BRD FR-14; intake Q2; FDD FD-14]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DA-13–DA-16; decline status from risk-rating processing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FD-14; DA-13–DA-16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Exception request details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Display the failed rules and their reasons on the exception request, using the stored policy results. [BRD FR-15; FDD FD-15]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DA-17–DA-20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FD-15; DA-17–DA-20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RM justification input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an RM justification text box and persist its entered text using DSD mapping DS-29. [BRD FR-16; FDD FD-16]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DA-29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FD-16; DA-29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Deciding-role display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Display the assigned role, credit officer or senior credit officer, using DSD mapping DS-30. [BRD FR-17; intake Q1; FDD FD-17]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DA-03, DA-30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FD-17; DA-03, DA-30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TD-18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Exception decision actions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Provide “Approve exception” and “Decline” actions and persist the selected action using DSD mapping DS-31. [BRD FR-18; FDD FD-18]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DA-31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FD-18; DA-31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TD-19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Check and decision history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Persist each policy check, its outcomes, and each exception decision in the logical policy-check record, result, and exception record tables. Physical table names and full record fields are ASSUMPTION: not supplied. [BRD FR-19; FDD FD-19]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DA-01–DA-31, as applicable to each check or decision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FD-19; DA-01–DA-31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TD-20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Results authorization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Restrict access to policy-check results to RMs and credit staff. Role source, authorization mechanism, and physical access-control design are ASSUMPTION: not supplied. [BRD FR-20; FDD FD-20]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Policy-check results and associated application data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FD-20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TD-21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Legacy row selection and migration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Select every legacy checklist row submitted in the three years before go-live and load it to policy-check history. Physical target table name is ASSUMPTION: not supplied. [BRD FR-21; intake Q4; FDD FD-21]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DA-09–DA-11; migration population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FD-21; DA-09–DA-11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TD-22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Legacy field migration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Map the specified legacy checklist fields into policy-check history using DSD mappings DS-09–DS-11 and DS-32–DS-38. Preserve a missing loan ID as specified by the DSD. [BRD FR-22; legacy-policy-checklist.csv row 1; FDD FD-22]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DA-01–DA-11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FD-22; DA-01–DA-11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TD-23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Borrower history access in the new policy-check system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Make migrated checklist history available to show a borrower’s history; the screen or interface and borrower lookup method require confirmation. [BRD FR-23; FDD FD-23; ASSUMPTION]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Migrated checklist history;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loan_id</w:t>
            </w:r>
            <w:r>
              <w:t xml:space="preserve"> (DA-02); other history attributes are not specified. [DRD DA-02; ASSUMPTION]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FD-23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TD-24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Legacy checklist migration load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Load legacy checklist rows, including rows without a loan ID, into the assumed policy-check history table using mapping DS-33. Target table name and missing-value representation require confirmation. [FDD FD-24; DSD DS-33; BRD FR-24; ASSUMPTION]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legacy-policy-checklist.csv.loan_id</w:t>
            </w:r>
            <w:r>
              <w:t xml:space="preserve"> to assumed policy-check history table.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loan_id</w:t>
            </w:r>
            <w:r>
              <w:t xml:space="preserve">; preserve missing loan ID. [DSD DS-33]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FD-24; DA-02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ETL design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Job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Transformation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Schedule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Depends on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Submission-triggered policy-check load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Application-submission system; physical source name and table are ASSUMPTION: not supplied.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New policy-check system; logical policy-check record and result tables (physical names ASSUMPTION).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Apply DSD mappings DS-01–DS-08 and DS-12–DS-28.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On RM submission for policy checking. [BRD FR-01]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Submission interface and application data availability; exact interface contract is ASSUMPTION.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Exception request and decision load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Exception request and decision actions in the new policy-check system; physical source tables are ASSUMPTION.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Logical exception record table (physical name ASSUMPTION).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Apply DSD mappings DS-29–DS-31.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On exception request or decision action. [BRD FR-07–FR-18]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Policy-check results; assigned deciding role; exception eligibility gate.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Legacy checklist migration load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Legacy Excel checklist file,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legacy-policy-checklist.csv</w:t>
            </w:r>
            <w:r>
              <w:t xml:space="preserve">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Logical policy-check history table (physical name ASSUMPTION).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Apply DSD mappings DS-09–DS-11 and DS-32–DS-38.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One-time migration before go-live; exact run date and execution schedule are ASSUMPTION.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Legacy file availability; agreed physical target schema; three-year-before-go-live selection period. [BRD FR-21; intake Q4]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Data model changes</w:t>
      </w:r>
    </w:p>
    <w:tbl>
      <w:tblPr>
        <w:tblW w:type="pct" w:w="100%"/>
        <w:tblBorders>
          <w:top w:val="single" w:color="C7CED8" w:sz="4"/>
          <w:left w:val="single" w:color="C7CED8" w:sz="4"/>
          <w:bottom w:val="single" w:color="C7CED8" w:sz="4"/>
          <w:right w:val="single" w:color="C7CED8" w:sz="4"/>
          <w:insideH w:val="single" w:color="C7CED8" w:sz="4"/>
          <w:insideV w:val="single" w:color="C7CE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Columns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Policy-check record table (logical name; physical name ASSUMPTION)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Add application inputs and calculated total borrower exposure. The material does not specify physical types, lengths, keys, or indexes. [DRD DA-01–DA-08, DA-12]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borrower_name; loan_id; amount; collateral_type; dscr; ltv; existing_exposure; risk_rating; total_borrower_exposure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Policy-check result table (logical name; physical name ASSUMPTION)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Add rule outcomes, failure details, actual values, and limits. The material does not specify physical types, lengths, keys, or indexes. [DRD DA-13–DA-28]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dscr_outcome; ltv_outcome; exposure_outcome; risk_rating_outcome; dscr_failure_reason; ltv_failure_reason; exposure_failure_reason; risk_rating_failure_reason; dscr_actual_value; ltv_actual_value; exposure_actual_value; risk_rating_actual_value; dscr_limit; ltv_limit; exposure_limit; risk_rating_limit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Exception record table (logical name; physical name ASSUMPTION)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Add exception justification, assigned role, and decision. The material does not specify physical types, lengths, keys, or indexes. [DRD DA-29–DA-31]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rm_justification; deciding_role; exception_decision</w:t>
            </w:r>
          </w:p>
        </w:tc>
      </w:tr>
      <w:t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Policy-check history table (logical name; physical name ASSUMPTION)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Add migrated legacy checklist fields. The material does not specify physical types, lengths, keys, or indexes. [DRD DA-01–DA-11]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t xml:space="preserve">borrower_name; loan_id; amount; dscr; ltv; existing_exposure; risk_rating; submitted_date; legacy_result; checker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Error handling and recovery</w:t>
      </w:r>
    </w:p>
    <w:p>
      <w:r>
        <w:t xml:space="preserve">The supplied material does not define job-level failure handling, restart rules, or alert recipients. The following operating design is an ASSUMPTION for review: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 failed submission-triggered load must not present an incomplete policy result as complete. Retrying must not create duplicate policy-check records.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 failed exception request or decision load must leave the exception pending until the write succeeds; retrying must not create duplicate decisions.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 failed migration load must record the failed row and error, allow restart from the failed row, and avoid duplicate migrated rows.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Alert the operational support owner on job failure. The support owner and alert channel are ASSUMPTION: not provided.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Preserve processing status and error details for investigation. Storage location and retention are ASSUMPTION: not provided.</w:t>
      </w:r>
    </w:p>
    <w:p>
      <w:pPr>
        <w:pStyle w:val="Heading1"/>
      </w:pPr>
      <w:r>
        <w:t xml:space="preserve">Non-functional design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Access:</w:t>
      </w:r>
      <w:r>
        <w:t xml:space="preserve"> Restrict policy-check results to RMs and credit staff. The role source and access-control implementation are ASSUMPTION: not provided. [BRD FR-20]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Audit:</w:t>
      </w:r>
      <w:r>
        <w:t xml:space="preserve"> Keep a full record of every policy check and every decision. The audit fields, retention period, and audit access are ASSUMPTION: not provided. [BRD FR-19]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b/>
          <w:bCs/>
        </w:rPr>
        <w:t xml:space="preserve">Performance, availability, security controls beyond access, and data retention:</w:t>
      </w:r>
      <w:r>
        <w:t xml:space="preserve"> No requirements for these are stated in the supplied BRD material. [BRD version 1.0, supplied rows]</w:t>
      </w:r>
    </w:p>
    <w:p>
      <w:pPr>
        <w:pStyle w:val="Heading1"/>
      </w:pPr>
      <w:r>
        <w:t xml:space="preserve">Deployment considerations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Deploy the policy-check data structures and processing components before enabling the submission action; physical deployment sequence is ASSUMPTION pending environment and release details.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Deploy the submission interface, rule processing, results display, exception workflow, and access control before enabling policy-check submissions. [BRD FR-01–FR-20]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Run the legacy migration before go-live and select every checklist row submitted in the three years before go-live. Validate that the specified fields are migrated; validation criteria and reconciliation counts are ASSUMPTION: not provided. [BRD FR-21–FR-22; intake Q4]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The number and names of environments, deployment tooling, back-out procedure, and data back-fill approach beyond the stated legacy migration are ASSUMPTION: not provided.</w:t>
      </w:r>
    </w:p>
    <w:p>
      <w:pPr>
        <w:pStyle w:val="Heading1"/>
      </w:pPr>
      <w:r>
        <w:t xml:space="preserve">Assumptions and open points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ASSUMPTION: Physical system, table, column, key, and interface names are not supplied; logical table names in this document require approval and mapping to physical objects. [FDD FD-01–FD-22; DSD]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Open point: The LTV outcome for collateral other than real estate is unresolved. No outcome is inferred. [DSD DS-14; intake Q3]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ASSUMPTION: Data types, lengths, precision, scale, nullability, and indexes are not specified in the DRD. [DRD DA-01–DA-31]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ASSUMPTION: Job retry policy, idempotency keys, alert owner, alert channel, and operational support process are not supplied.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ASSUMPTION: Retention period, performance targets, deployment environments, and migration reconciliation criteria are not supplied.</w:t>
      </w:r>
    </w:p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Version 1.0 · Approved ·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7"/>
        <w:szCs w:val="17"/>
      </w:rPr>
      <w:t xml:space="preserve">Commercial Loan Policy Check ·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</w:pPr>
    <w:rPr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b/>
      <w:bCs/>
      <w:color w:val="1F2937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60"/>
    </w:pPr>
    <w:rPr>
      <w:b/>
      <w:bCs/>
      <w:i/>
      <w:i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Document: Commercial Loan Policy Check</dc:title>
  <dc:creator>SDLC CAPM</dc:creator>
  <dc:description>Technical Design Document for Commercial Loan Policy Check</dc:description>
  <cp:lastModifiedBy>Un-named</cp:lastModifiedBy>
  <cp:revision>1</cp:revision>
  <dcterms:created xsi:type="dcterms:W3CDTF">2026-10-19T17:19:13.669Z</dcterms:created>
  <dcterms:modified xsi:type="dcterms:W3CDTF">2026-10-19T17:19:13.669Z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