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SIT QA Strategy: Commercial Loan Policy Check</w:t>
      </w:r>
    </w:p>
    <w:p>
      <w:pPr>
        <w:spacing w:after="80" w:before="120"/>
      </w:pPr>
      <w:r>
        <w:rPr>
          <w:b/>
          <w:bCs/>
          <w:color w:val="1F3864"/>
        </w:rPr>
        <w:t xml:space="preserve">Document control</w:t>
      </w:r>
    </w:p>
    <w:tbl>
      <w:tblPr>
        <w:tblW w:type="pct" w:w="100%"/>
        <w:tblBorders>
          <w:top w:val="single" w:color="C7CED8" w:sz="4"/>
          <w:left w:val="single" w:color="C7CED8" w:sz="4"/>
          <w:bottom w:val="single" w:color="C7CED8" w:sz="4"/>
          <w:right w:val="single" w:color="C7CED8" w:sz="4"/>
          <w:insideH w:val="single" w:color="C7CED8" w:sz="4"/>
          <w:insideV w:val="single" w:color="C7CED8" w:sz="4"/>
        </w:tblBorders>
      </w:tblPr>
      <w:tblGrid>
        <w:gridCol w:w="100"/>
        <w:gridCol w:w="100"/>
      </w:tblGrid>
      <w:tr>
        <w:tc>
          <w:tcPr>
            <w:tcW w:type="pct" w:w="28%"/>
            <w:shd w:fill="E8EE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Document</w:t>
            </w:r>
          </w:p>
        </w:tc>
        <w:tc>
          <w:tcPr>
            <w:tcW w:type="pct" w:w="7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SIT QA Strategy</w:t>
            </w:r>
          </w:p>
        </w:tc>
      </w:tr>
      <w:tr>
        <w:tc>
          <w:tcPr>
            <w:tcW w:type="pct" w:w="28%"/>
            <w:shd w:fill="E8EE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Project</w:t>
            </w:r>
          </w:p>
        </w:tc>
        <w:tc>
          <w:tcPr>
            <w:tcW w:type="pct" w:w="7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Commercial Loan Policy Check</w:t>
            </w:r>
          </w:p>
        </w:tc>
      </w:tr>
      <w:tr>
        <w:tc>
          <w:tcPr>
            <w:tcW w:type="pct" w:w="28%"/>
            <w:shd w:fill="E8EE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pct" w:w="7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1.0</w:t>
            </w:r>
          </w:p>
        </w:tc>
      </w:tr>
      <w:tr>
        <w:tc>
          <w:tcPr>
            <w:tcW w:type="pct" w:w="28%"/>
            <w:shd w:fill="E8EE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Status</w:t>
            </w:r>
          </w:p>
        </w:tc>
        <w:tc>
          <w:tcPr>
            <w:tcW w:type="pct" w:w="7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Approved</w:t>
            </w:r>
          </w:p>
        </w:tc>
      </w:tr>
      <w:tr>
        <w:tc>
          <w:tcPr>
            <w:tcW w:type="pct" w:w="28%"/>
            <w:shd w:fill="E8EE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Owner</w:t>
            </w:r>
          </w:p>
        </w:tc>
        <w:tc>
          <w:tcPr>
            <w:tcW w:type="pct" w:w="7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QA lead</w:t>
            </w:r>
          </w:p>
        </w:tc>
      </w:tr>
      <w:tr>
        <w:tc>
          <w:tcPr>
            <w:tcW w:type="pct" w:w="28%"/>
            <w:shd w:fill="E8EE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Approved by</w:t>
            </w:r>
          </w:p>
        </w:tc>
        <w:tc>
          <w:tcPr>
            <w:tcW w:type="pct" w:w="7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vivek (QA lead)</w:t>
            </w:r>
          </w:p>
        </w:tc>
      </w:tr>
      <w:tr>
        <w:tc>
          <w:tcPr>
            <w:tcW w:type="pct" w:w="28%"/>
            <w:shd w:fill="E8EE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Approved on</w:t>
            </w:r>
          </w:p>
        </w:tc>
        <w:tc>
          <w:tcPr>
            <w:tcW w:type="pct" w:w="7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19 October 2026 at 11:19</w:t>
            </w:r>
          </w:p>
        </w:tc>
      </w:tr>
      <w:tr>
        <w:tc>
          <w:tcPr>
            <w:tcW w:type="pct" w:w="28%"/>
            <w:shd w:fill="E8EE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Written by</w:t>
            </w:r>
          </w:p>
        </w:tc>
        <w:tc>
          <w:tcPr>
            <w:tcW w:type="pct" w:w="7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QA lead agent via GitHub Copilot (copilot/claude-fable-5.1)</w:t>
            </w:r>
          </w:p>
        </w:tc>
      </w:tr>
      <w:tr>
        <w:tc>
          <w:tcPr>
            <w:tcW w:type="pct" w:w="28%"/>
            <w:shd w:fill="E8EE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Template</w:t>
            </w:r>
          </w:p>
        </w:tc>
        <w:tc>
          <w:tcPr>
            <w:tcW w:type="pct" w:w="7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standard/sit-strategy.md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Purpose and objectives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t xml:space="preserve">Prove that the integrated solution meets the approved BRD requirements through the application submission, policy-check, exception and history-migration flows. [BRD FR-01–FR-24]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t xml:space="preserve">Verify that the policy rules, displayed results, routing, records, access restriction and specified data mappings produce observable, traceable outcomes. [BRD FR-02–FR-20; DSD DS-01–DS-38; TDD TD-01–TD-24]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t xml:space="preserve">Reconcile the migrated three-year checklist population and its specified fields against the source file. [BRD FR-21–FR-24; intake Q4; TDD Legacy checklist migration load]</w:t>
      </w:r>
    </w:p>
    <w:p>
      <w:pPr>
        <w:pStyle w:val="Heading1"/>
      </w:pPr>
      <w:r>
        <w:t xml:space="preserve">Scope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t xml:space="preserve">Cover all BRD functional and non-functional requirements listed below; unresolved acceptance details must be confirmed before the affected tests can run. [BRD Detailed requirements; BRD Non-functional requirements]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t xml:space="preserve">Cover the application-submission interface, exception request and decision load, and legacy checklist migration load. [TDD TD-01; TDD ETL design]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t xml:space="preserve">Cover policy rules, screen data and actions, access restriction, check and decision records, and borrower history. [BRD FR-01–FR-24]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t xml:space="preserve">Do not infer behavior for non-real-estate LTV, unspecified input validation, error recovery, audit fields, retention, privacy controls or accessibility criteria. Confirm these before testing the affected behavior. [intake Q3; intake Q7–Q10; FDD Screens and user interactions; TDD Error handling and recovery]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t xml:space="preserve">Reports are not in scope because no report format or frequency is specified. [BRD Report requirements]</w:t>
      </w:r>
    </w:p>
    <w:p>
      <w:pPr>
        <w:pStyle w:val="Heading1"/>
      </w:pPr>
      <w:r>
        <w:t xml:space="preserve">Requirements in scope</w:t>
      </w:r>
    </w:p>
    <w:tbl>
      <w:tblPr>
        <w:tblW w:type="pct" w:w="100%"/>
        <w:tblBorders>
          <w:top w:val="single" w:color="C7CED8" w:sz="4"/>
          <w:left w:val="single" w:color="C7CED8" w:sz="4"/>
          <w:bottom w:val="single" w:color="C7CED8" w:sz="4"/>
          <w:right w:val="single" w:color="C7CED8" w:sz="4"/>
          <w:insideH w:val="single" w:color="C7CED8" w:sz="4"/>
          <w:insideV w:val="single" w:color="C7CED8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8EE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BRD ID</w:t>
            </w:r>
          </w:p>
        </w:tc>
        <w:tc>
          <w:tcPr>
            <w:shd w:fill="E8EE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Requirement</w:t>
            </w:r>
          </w:p>
        </w:tc>
        <w:tc>
          <w:tcPr>
            <w:shd w:fill="E8EE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In SIT scope</w:t>
            </w:r>
          </w:p>
        </w:tc>
        <w:tc>
          <w:tcPr>
            <w:shd w:fill="E8EE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Reason</w:t>
            </w:r>
          </w:p>
        </w:tc>
      </w:tr>
      <w:tr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FR-01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Start a policy check when an RM submits an application for policy checking. [BRD FR-01]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Yes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Verify the submission action invokes the policy-check flow. [TDD TD-01; TDD Submission-triggered policy-check load]</w:t>
            </w:r>
          </w:p>
        </w:tc>
      </w:tr>
      <w:tr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FR-02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Pass DSCR when it is at least 1.25x. [BRD FR-02]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Yes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Verify the rule at the limit and on either side, using the approved data precision. [DSD DS-13; TDD TD-02]</w:t>
            </w:r>
          </w:p>
        </w:tc>
      </w:tr>
      <w:tr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FR-03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For real-estate collateral, pass LTV when it is at most 75%. [BRD FR-03]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Yes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Verify the rule at the limit and on either side; non-real-estate handling remains unresolved. [DSD DS-14; intake Q3; TDD TD-03]</w:t>
            </w:r>
          </w:p>
        </w:tc>
      </w:tr>
      <w:tr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FR-04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Pass exposure when total borrower exposure, including existing loans, is at most $10M. [BRD FR-04]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Yes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Verify amount plus existing exposure, including the limit and values on either side. [DSD DS-12; DSD DS-15; TDD TD-04]</w:t>
            </w:r>
          </w:p>
        </w:tc>
      </w:tr>
      <w:tr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FR-05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Treat risk ratings from 1 to 6 as eligible. [BRD FR-05]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Yes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Verify ratings at the eligibility boundaries and within the stated range. [DSD DS-16; TDD TD-05]</w:t>
            </w:r>
          </w:p>
        </w:tc>
      </w:tr>
      <w:tr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FR-06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Decline a loan with a risk rating of 7 or worse, without an exception path. [BRD FR-06; intake Q2]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Yes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Verify rating 7 and worse ratings supported by the approved input domain; confirm no exception action is available. [DSD DS-16; TDD TD-06]</w:t>
            </w:r>
          </w:p>
        </w:tc>
      </w:tr>
      <w:tr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FR-07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Require an exception decision before a non-declined loan with a failed rule can proceed. [BRD FR-07; intake Q2]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Yes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Verify the gate before a decision and the recorded decision flow. [TDD TD-07]</w:t>
            </w:r>
          </w:p>
        </w:tc>
      </w:tr>
      <w:tr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FR-08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Assign an exception decision to a senior credit officer when the loan amount is above $5M. [BRD FR-08; intake Q1]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Yes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Verify routing above $5M using approved amount precision. [DSD DS-30; TDD TD-08]</w:t>
            </w:r>
          </w:p>
        </w:tc>
      </w:tr>
      <w:tr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FR-09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Assign an exception decision to a credit officer when the loan amount is $5M or less. [BRD FR-09; intake Q1]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Yes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Verify routing at $5M and below using approved amount precision. [DSD DS-30; TDD TD-09]</w:t>
            </w:r>
          </w:p>
        </w:tc>
      </w:tr>
      <w:tr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FR-10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Show borrower name, loan ID, amount, collateral type, DSCR, LTV, existing exposure and risk rating on the application summary. [BRD FR-10]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Yes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Compare each displayed value with the submitted application data. [FDD FD-10; TDD TD-10]</w:t>
            </w:r>
          </w:p>
        </w:tc>
      </w:tr>
      <w:tr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FR-11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Provide a “Submit for policy check” action on the application summary. [BRD FR-11]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Yes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Verify the action is present and starts the submission flow. [FDD FD-11; TDD TD-11]</w:t>
            </w:r>
          </w:p>
        </w:tc>
      </w:tr>
      <w:tr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FR-12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Show a Pass or Fail row for each DSCR, LTV, exposure and risk rating rule. [BRD FR-12]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Yes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Verify all four rule rows and their outcomes. [FDD FD-12; TDD TD-12]</w:t>
            </w:r>
          </w:p>
        </w:tc>
      </w:tr>
      <w:tr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FR-13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For each failed rule, show the reason, actual value and limit. [BRD FR-13]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Yes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Compare the displayed fields with the failed rule data; exact reason wording is not specified. [DSD DS-17–DS-28; TDD TD-13]</w:t>
            </w:r>
          </w:p>
        </w:tc>
      </w:tr>
      <w:tr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FR-14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Show “Request exception” only when a rule fails and the loan is not declined. [BRD FR-14; intake Q2]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Yes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Verify visibility for eligible failures and absence when no rule fails or the loan is declined. [TDD TD-14]</w:t>
            </w:r>
          </w:p>
        </w:tc>
      </w:tr>
      <w:tr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FR-15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Show failed rules and their reasons on the exception request. [BRD FR-15]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Yes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Compare exception-request details with the policy results. [FDD FD-15; TDD TD-15]</w:t>
            </w:r>
          </w:p>
        </w:tc>
      </w:tr>
      <w:tr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FR-16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Provide an RM justification text box on the exception request. [BRD FR-16]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Yes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Verify the field is available and entered text is persisted; input validation is unspecified. [DSD DS-29; TDD TD-16]</w:t>
            </w:r>
          </w:p>
        </w:tc>
      </w:tr>
      <w:tr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FR-17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Identify the deciding role as credit officer or senior credit officer on the exception request. [BRD FR-17]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Yes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Verify the displayed role matches the loan-amount routing rule. [DSD DS-30; TDD TD-17]</w:t>
            </w:r>
          </w:p>
        </w:tc>
      </w:tr>
      <w:tr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FR-18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Provide “Approve exception” and “Decline” actions. [BRD FR-18]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Yes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Verify both actions and persistence of the selected decision. [DSD DS-31; TDD TD-18]</w:t>
            </w:r>
          </w:p>
        </w:tc>
      </w:tr>
      <w:tr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FR-19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Keep a full record of every policy check and every decision. [BRD FR-19]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Yes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Verify a record exists for each check and decision; required record contents remain to be confirmed. [BRD NFR-05; TDD TD-19; intake Q10]</w:t>
            </w:r>
          </w:p>
        </w:tc>
      </w:tr>
      <w:tr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FR-20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Restrict policy-check results to RMs and credit staff. [BRD FR-20]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Yes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Verify access for permitted groups and denial for users outside those groups; role setup requires confirmation. [BRD NFR-01; TDD TD-20; intake Q6]</w:t>
            </w:r>
          </w:p>
        </w:tc>
      </w:tr>
      <w:tr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FR-21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Migrate every legacy checklist row submitted in the three years before go-live. [BRD FR-21; intake Q4]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Yes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Reconcile the selected source population to loaded history; go-live date must be supplied. [TDD TD-21]</w:t>
            </w:r>
          </w:p>
        </w:tc>
      </w:tr>
      <w:tr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FR-22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Migrate loan ID, borrower, submitted date, amount, DSCR, LTV, existing exposure, risk rating, result and checker. [BRD FR-22]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Yes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Compare every specified mapped field between source and target. [DSD DS-09–DS-11; DSD DS-32–DS-38; TDD TD-22]</w:t>
            </w:r>
          </w:p>
        </w:tc>
      </w:tr>
      <w:tr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FR-23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Make migrated checklist history available to show a borrower’s history. [BRD FR-23]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Yes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Verify migrated history can be found and displayed; lookup method and screen require confirmation. [TDD TD-23]</w:t>
            </w:r>
          </w:p>
        </w:tc>
      </w:tr>
      <w:tr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FR-24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Migrate a legacy checklist row that has no loan ID. [BRD FR-24]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Yes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Verify a source row with a missing loan ID is loaded and the missing value is preserved. [DSD DS-33; TDD TD-24]</w:t>
            </w:r>
          </w:p>
        </w:tc>
      </w:tr>
      <w:tr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NFR-01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Restrict policy-check results to RMs and credit staff. [BRD NFR-01]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Yes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Covered with FR-20; confirm role definitions and test accounts before execution. [intake Q6]</w:t>
            </w:r>
          </w:p>
        </w:tc>
      </w:tr>
      <w:tr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NFR-02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Protect borrower financial details from access beyond permitted groups; privacy controls are to be confirmed. [BRD NFR-02]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Yes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Test only the privacy controls after they are approved and made measurable; otherwise this coverage is blocked. [intake Q7]</w:t>
            </w:r>
          </w:p>
        </w:tc>
      </w:tr>
      <w:tr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NFR-03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Retain checks, decisions and migrated checklist records for a period to be confirmed. [BRD NFR-03]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Yes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Verify the approved retention period only after it is specified; no duration is inferred. [intake Q8]</w:t>
            </w:r>
          </w:p>
        </w:tc>
      </w:tr>
      <w:tr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NFR-04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Meet accessibility requirements to be confirmed. [BRD NFR-04]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Yes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Test against approved accessibility criteria once supplied; criteria are currently unresolved. [intake Q9]</w:t>
            </w:r>
          </w:p>
        </w:tc>
      </w:tr>
      <w:tr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NFR-05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Keep a full record of every check and decision; required contents are to be confirmed. [BRD NFR-05]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Yes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Verify records exist for each check and decision; verify detailed contents only after approval. [TDD TD-19; intake Q10]</w:t>
            </w:r>
          </w:p>
        </w:tc>
      </w:tr>
      <w:tr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NFR-06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Return policy-check results within 3 seconds of submission. [BRD NFR-06]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Yes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Measure submission-to-result time against 3 seconds; confirm the measurement points and test conditions before execution. [intake Q5]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Test approach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t xml:space="preserve">Derive cases from BRD requirements and FDD screens, then trace each case to the relevant DSD mappings and TDD components. [FDD FD-01–FD-24; DSD DS-01–DS-38; TDD TD-01–TD-24]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t xml:space="preserve">Run functional tests for submission, rules, results, exception eligibility, routing, decisions, records, access and borrower history. [BRD FR-01–FR-20; BRD FR-23]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t xml:space="preserve">Run integration tests across the submission interface, exception request and decision load, and legacy migration load. Verify source-to-target values and observable results. [TDD TD-01; TDD ETL design; DSD Data sourcing]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t xml:space="preserve">For DSCR, real-estate LTV, exposure and loan-amount routing, test the exact limit and the nearest representable value on either side once field precision is approved. Test risk ratings 1, 6, 7 and a supported value worse than 7. [BRD FR-02–FR-09; DSD DA-03–DA-08]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t xml:space="preserve">Include positive, failed-rule, multiple-failure and declined-loan scenarios. Verify failed-rule reason, actual value and limit; do not invent exact reason text. [BRD FR-12–FR-15; DSD DS-17–DS-28]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t xml:space="preserve">Run migration testing for the three-year selection window, every specified field, borrower history availability and a row without a loan ID. Reconcile selected source rows to loaded rows and compare mapped values. [BRD FR-21–FR-24; DSD DS-09–DS-11; DSD DS-32–DS-38]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t xml:space="preserve">Run regression on affected submission, rules, exception, record and migration flows after fixes. [TDD TD-01–TD-24]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t xml:space="preserve">Test access restriction and the 3-second result requirement. Test privacy, retention and accessibility only against approved criteria. [BRD NFR-01–NFR-06; intake Q5–Q9]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t xml:space="preserve">Do not test unspecified input validation, non-real-estate LTV behavior or unapproved recovery behavior as acceptance requirements. [FDD Screens and user interactions; intake Q3; TDD Error handling and recovery]</w:t>
      </w:r>
    </w:p>
    <w:p>
      <w:pPr>
        <w:pStyle w:val="Heading1"/>
      </w:pPr>
      <w:r>
        <w:t xml:space="preserve">Test environments</w:t>
      </w:r>
    </w:p>
    <w:tbl>
      <w:tblPr>
        <w:tblW w:type="pct" w:w="100%"/>
        <w:tblBorders>
          <w:top w:val="single" w:color="C7CED8" w:sz="4"/>
          <w:left w:val="single" w:color="C7CED8" w:sz="4"/>
          <w:bottom w:val="single" w:color="C7CED8" w:sz="4"/>
          <w:right w:val="single" w:color="C7CED8" w:sz="4"/>
          <w:insideH w:val="single" w:color="C7CED8" w:sz="4"/>
          <w:insideV w:val="single" w:color="C7CED8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8EE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Environment</w:t>
            </w:r>
          </w:p>
        </w:tc>
        <w:tc>
          <w:tcPr>
            <w:shd w:fill="E8EE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Purpose</w:t>
            </w:r>
          </w:p>
        </w:tc>
        <w:tc>
          <w:tcPr>
            <w:shd w:fill="E8EE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Systems and versions</w:t>
            </w:r>
          </w:p>
        </w:tc>
        <w:tc>
          <w:tcPr>
            <w:shd w:fill="E8EE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Test data</w:t>
            </w:r>
          </w:p>
        </w:tc>
      </w:tr>
      <w:tr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SIT integrated environment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Exercise the end-to-end submission, policy-check, exception and decision flows. [TDD Solution overview]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Application-submission system and new policy-check system; names, versions and environment details are not provided and must be confirmed. [BRD System interfaces; TDD Assumptions and open points]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Synthetic application cases covering rules, boundaries, routing and access; exact representable boundary values require approved data precision. [BRD FR-01–FR-20; DSD DA-01–DA-31]</w:t>
            </w:r>
          </w:p>
        </w:tc>
      </w:tr>
      <w:tr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SIT migration environment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Run and reconcile the one-time legacy checklist load before go-live. [TDD Legacy checklist migration load]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Legacy checklist file and new policy-check system; versions and physical target objects are not provided and must be confirmed. [TDD ETL design; DSD Assumptions and open points]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Approved, protected copy of the legacy file with the agreed three-year selection window; include a row with no loan ID. Do not use personal or confidential values in test evidence. [BRD FR-21–FR-24; intake Q4]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Test data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t xml:space="preserve">Use synthetic application data for borrower name, loan ID, amount, collateral type, DSCR, LTV, existing exposure and risk rating. [BRD FR-10; DSD DA-01–DA-08]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t xml:space="preserve">Prepare cases at 1.25x DSCR, 75% real-estate LTV, $10M total borrower exposure and $5M loan amount, plus the nearest representable values above or below each applicable limit. Confirm precision before preparing boundary values. [BRD FR-02–FR-04; BRD FR-08–FR-09; DSD DA-03–DA-07]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t xml:space="preserve">Prepare eligible risk ratings 1 to 6 and decline cases at 7 or worse. [BRD FR-05–FR-06]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t xml:space="preserve">Prepare passing, single-failure, multiple-failure and declined applications to verify results and exception visibility. [BRD FR-12–FR-15]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t xml:space="preserve">Prepare RM and credit-staff test accounts, plus an account outside those groups, after access roles are confirmed. [BRD FR-20; intake Q6]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t xml:space="preserve">Use an approved migration source extract, the confirmed three-year cutoff and a target baseline. Reconcile row counts and each specified field, including the row without a loan ID. [BRD FR-21–FR-24; DSD DS-09–DS-11; DSD DS-32–DS-38]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t xml:space="preserve">Protect borrower data by using synthetic data for functional tests and a suitably protected, approved migration copy for migration tests. Mask or omit personal and confidential values from test evidence. [BRD NFR-02; intake Q7; ASSUMPTION: test data handling controls must be approved before migration testing.]</w:t>
      </w:r>
    </w:p>
    <w:p>
      <w:pPr>
        <w:pStyle w:val="Heading1"/>
      </w:pPr>
      <w:r>
        <w:t xml:space="preserve">Entry criteria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t xml:space="preserve">The SIT build and required systems are deployed and available; the system names, versions, endpoints and physical target objects are documented. [TDD Assumptions and open points]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t xml:space="preserve">The submission interface contract and source fields for current application data are approved and available for testing. [BRD System interfaces; DSD Assumptions and open points]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t xml:space="preserve">The migration source file, go-live date, three-year selection cutoff and target schema are approved. [BRD FR-21; intake Q4; TDD TD-21]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t xml:space="preserve">Business owners approve handling for non-real-estate LTV, and the FDD screen designs used for acceptance are confirmed. [intake Q3; intake Q11]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t xml:space="preserve">Approved criteria are recorded for unresolved privacy, retention, accessibility, audit-record contents and access roles before tests for those items begin. [BRD NFR-01–NFR-05; intake Q6–Q10]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t xml:space="preserve">Data precision for DSCR, LTV, exposure and loan amount is documented so boundary values can be selected objectively. [DSD DA-03; DSD DA-05–DA-07]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t xml:space="preserve">The 3-second measurement points and test conditions are agreed and documented. [BRD NFR-06; intake Q5]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t xml:space="preserve">Test cases and a requirement traceability matrix cover every in-scope BRD ID. [BRD Detailed requirements; BRD Non-functional requirements]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t xml:space="preserve">Synthetic test data, approved migration data and required role-based test accounts are available. [BRD FR-10; BRD FR-20–FR-24]</w:t>
      </w:r>
    </w:p>
    <w:p>
      <w:pPr>
        <w:pStyle w:val="Heading1"/>
      </w:pPr>
      <w:r>
        <w:t xml:space="preserve">Exit criteria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t xml:space="preserve">Every approved SIT case for every in-scope requirement has been run, and results are recorded against the requirement traceability matrix. [BRD Detailed requirements; BRD Non-functional requirements]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t xml:space="preserve">All executed mandatory cases pass; each failure is linked to a defect or approved requirement clarification. [ASSUMPTION: all mandatory SIT cases must pass for exit.]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t xml:space="preserve">No open Severity 1 or Severity 2 defects remain; any Severity 3 defect has a documented disposition approved by the business owner and QA lead. [ASSUMPTION: severity scale and exit thresholds require project approval.]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t xml:space="preserve">Regression cases affected by fixes have been rerun and passed. [ASSUMPTION: regression scope is selected by QA lead based on the fix impact.]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t xml:space="preserve">Migration reconciliation shows the selected source-row count equals the loaded-row count, and every specified migrated field matches its source value, including the missing loan ID case. [BRD FR-21–FR-24; DSD Data sourcing]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t xml:space="preserve">Access tests show policy-check results available to RMs and credit staff and denied to the tested account outside those groups. [BRD FR-20; BRD NFR-01]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t xml:space="preserve">Policy-check results meet the 3-second requirement under the approved test conditions. [BRD NFR-06]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t xml:space="preserve">All unresolved criteria that block in-scope testing have approved decisions, and no in-scope requirement remains untested without a documented, approved reason. [BRD NFR-02–NFR-05; intake Q3; intake Q6–Q11]</w:t>
      </w:r>
    </w:p>
    <w:p>
      <w:pPr>
        <w:pStyle w:val="Heading1"/>
      </w:pPr>
      <w:r>
        <w:t xml:space="preserve">Defect management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t xml:space="preserve">Record each defect with a unique identifier, affected requirement and test case, environment, reproducible steps, actual result, expected result and evidence. [ASSUMPTION: defect tracking tool and required fields are not specified.]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t xml:space="preserve">Use this proposed severity scale, subject to approval: Severity 1 means a critical flow is blocked or results are materially incorrect with no workaround; Severity 2 means a required flow or control fails with no acceptable workaround; Severity 3 means a limited failure with a documented workaround; Severity 4 means a minor issue with no material effect on required behavior. [ASSUMPTION: severity definitions are not specified in the approved documents.]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t xml:space="preserve">Hold triage with the QA lead, delivery or technical lead, and business owner; confirm severity, priority, owner and target fix. Named owners are not provided. [ASSUMPTION: triage roles and cadence require confirmation.]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t xml:space="preserve">The delivery or technical lead fixes the defect; the tester retests the failed case and runs related regression cases. [ASSUMPTION: fix and retest responsibilities require confirmation.]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t xml:space="preserve">The QA lead recommends SIT exit; the business owner accepts business-impacting residual defects, and the project manager confirms schedule impact. [ASSUMPTION: decision authority requires confirmation.]</w:t>
      </w:r>
    </w:p>
    <w:p>
      <w:pPr>
        <w:pStyle w:val="Heading1"/>
      </w:pPr>
      <w:r>
        <w:t xml:space="preserve">Roles and responsibilities</w:t>
      </w:r>
    </w:p>
    <w:tbl>
      <w:tblPr>
        <w:tblW w:type="pct" w:w="100%"/>
        <w:tblBorders>
          <w:top w:val="single" w:color="C7CED8" w:sz="4"/>
          <w:left w:val="single" w:color="C7CED8" w:sz="4"/>
          <w:bottom w:val="single" w:color="C7CED8" w:sz="4"/>
          <w:right w:val="single" w:color="C7CED8" w:sz="4"/>
          <w:insideH w:val="single" w:color="C7CED8" w:sz="4"/>
          <w:insideV w:val="single" w:color="C7CED8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8EE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Role</w:t>
            </w:r>
          </w:p>
        </w:tc>
        <w:tc>
          <w:tcPr>
            <w:shd w:fill="E8EE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Responsibility</w:t>
            </w:r>
          </w:p>
        </w:tc>
      </w:tr>
      <w:tr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QA lead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Approve SIT cases and evidence, manage traceability and defects, report readiness and recommend exit. [ASSUMPTION: role allocation; project information identifies the QA lead as document owner.]</w:t>
            </w:r>
          </w:p>
        </w:tc>
      </w:tr>
      <w:tr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SIT testers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Execute approved cases, capture evidence, raise defects and retest fixes. [ASSUMPTION: role allocation.]</w:t>
            </w:r>
          </w:p>
        </w:tc>
      </w:tr>
      <w:tr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Business owner or policy representative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Confirm policy interpretations, unresolved acceptance criteria and business disposition of residual defects. [ASSUMPTION: named system business owners are not identified; BRD Stakeholders.]</w:t>
            </w:r>
          </w:p>
        </w:tc>
      </w:tr>
      <w:tr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Application-submission system lead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Provide the submission interface, source data and support for integration testing. [ASSUMPTION: system name and IT lead are not provided; BRD System interfaces.]</w:t>
            </w:r>
          </w:p>
        </w:tc>
      </w:tr>
      <w:tr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Policy-check system delivery lead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Provide the SIT build, rules, screens, records and access configuration; investigate and fix defects. [ASSUMPTION: system name and IT lead are not provided; BRD Impacted systems.]</w:t>
            </w:r>
          </w:p>
        </w:tc>
      </w:tr>
      <w:tr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Data migration lead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Provide the migration job, source population, mappings and reconciliation evidence. [ASSUMPTION: named IT lead is not provided; DSD Data sourcing.]</w:t>
            </w:r>
          </w:p>
        </w:tc>
      </w:tr>
      <w:tr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Project manager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Coordinate dependencies, schedule and escalation. [ASSUMPTION: role allocation; BRD Stakeholders identifies the project manager as a stakeholder.]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Schedule and dependencies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t xml:space="preserve">No dates, durations or named delivery teams are provided; the project manager and QA lead must baseline the schedule before execution. [BRD Requirement sessions; TDD Assumptions and open points]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b/>
          <w:bCs/>
        </w:rPr>
        <w:t xml:space="preserve">Preparation:</w:t>
      </w:r>
      <w:r>
        <w:t xml:space="preserve"> confirm unresolved acceptance criteria, interface contracts, schemas, data precision, roles and test data. These are prerequisites to the affected tests. [FDD Assumptions and open points; DSD Assumptions and open points; TDD Assumptions and open points]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b/>
          <w:bCs/>
        </w:rPr>
        <w:t xml:space="preserve">Environment and build readiness:</w:t>
      </w:r>
      <w:r>
        <w:t xml:space="preserve"> deploy the submission interface, policy rules, screens, exception flow, records and access controls to the SIT environment. [TDD Deployment considerations]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b/>
          <w:bCs/>
        </w:rPr>
        <w:t xml:space="preserve">Functional and integration execution:</w:t>
      </w:r>
      <w:r>
        <w:t xml:space="preserve"> test submission-triggered checks and exception requests and decisions after the relevant systems and interfaces are available. [TDD ETL design]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b/>
          <w:bCs/>
        </w:rPr>
        <w:t xml:space="preserve">Migration execution and reconciliation:</w:t>
      </w:r>
      <w:r>
        <w:t xml:space="preserve"> run the one-time load after the legacy file, target schema and three-year cutoff are approved; complete before go-live. [TDD Legacy checklist migration load; intake Q4]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b/>
          <w:bCs/>
        </w:rPr>
        <w:t xml:space="preserve">Regression and exit review:</w:t>
      </w:r>
      <w:r>
        <w:t xml:space="preserve"> rerun impacted cases after fixes, reconcile evidence to requirements and present exit status to the decision-makers. [ASSUMPTION: phase order and approval workflow require project confirmation.]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t xml:space="preserve">Dependencies include application-submission data availability, policy-check deployment, agreed role access, approved migration source and target, and confirmation of open design points. [TDD ETL design; TDD Assumptions and open points]</w:t>
      </w:r>
    </w:p>
    <w:p>
      <w:pPr>
        <w:pStyle w:val="Heading1"/>
      </w:pPr>
      <w:r>
        <w:t xml:space="preserve">Risks and mitigations</w:t>
      </w:r>
    </w:p>
    <w:tbl>
      <w:tblPr>
        <w:tblW w:type="pct" w:w="100%"/>
        <w:tblBorders>
          <w:top w:val="single" w:color="C7CED8" w:sz="4"/>
          <w:left w:val="single" w:color="C7CED8" w:sz="4"/>
          <w:bottom w:val="single" w:color="C7CED8" w:sz="4"/>
          <w:right w:val="single" w:color="C7CED8" w:sz="4"/>
          <w:insideH w:val="single" w:color="C7CED8" w:sz="4"/>
          <w:insideV w:val="single" w:color="C7CED8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8EE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Risk</w:t>
            </w:r>
          </w:p>
        </w:tc>
        <w:tc>
          <w:tcPr>
            <w:shd w:fill="E8EE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Impact</w:t>
            </w:r>
          </w:p>
        </w:tc>
        <w:tc>
          <w:tcPr>
            <w:shd w:fill="E8EE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Mitigation</w:t>
            </w:r>
          </w:p>
        </w:tc>
      </w:tr>
      <w:tr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Submission interface contract, source system details and physical schemas are not supplied. [BRD System interfaces; TDD Assumptions and open points]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SIT cannot establish reliable integration or data assertions.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Obtain and approve interface contracts, source fields and target mappings before affected tests start.</w:t>
            </w:r>
          </w:p>
        </w:tc>
      </w:tr>
      <w:tr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LTV handling for non-real-estate collateral is unresolved. [intake Q3; DSD DS-14]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Results for those applications cannot be judged consistently.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Obtain an approved rule and expected display before testing those cases; do not infer behavior.</w:t>
            </w:r>
          </w:p>
        </w:tc>
      </w:tr>
      <w:tr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Migration cutoff depends on an unprovided go-live date, and migration reconciliation criteria are not specified. [intake Q4; TDD Deployment considerations]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The selected population or completeness verdict may be disputed.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Approve the go-live date, cutoff, source population and reconciliation method before the migration run.</w:t>
            </w:r>
          </w:p>
        </w:tc>
      </w:tr>
      <w:tr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Access roles, privacy controls, retention, accessibility and audit-record contents are unresolved. [intake Q6–Q10]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Required controls cannot be tested objectively.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Obtain measurable approved criteria and test accounts before testing the affected requirements.</w:t>
            </w:r>
          </w:p>
        </w:tc>
      </w:tr>
      <w:tr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Data precision and physical types are not specified. [DSD DA-01–DA-31]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Boundary tests may not use the true nearest representable values.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Approve field types, precision and scale before preparing boundary data.</w:t>
            </w:r>
          </w:p>
        </w:tc>
      </w:tr>
      <w:tr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Figma descriptions are samples and real frame exports are not confirmed. [intake Q11]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Screen-level acceptance may be ambiguous.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Confirm the approved screen designs before testers assess layout or wording beyond stated requirements.</w:t>
            </w:r>
          </w:p>
        </w:tc>
      </w:tr>
      <w:tr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Error recovery and operational support details are assumptions in the TDD. [TDD Error handling and recovery]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Failure and restart tests may lack approved expected outcomes.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Obtain approved recovery behavior, support ownership and alert details before adding those tests.</w:t>
            </w:r>
          </w:p>
        </w:tc>
      </w:tr>
      <w:tr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System and IT lead names are not identified. [BRD Stakeholders; BRD Impacted systems]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Defect resolution and environment support may be delayed.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Assign named system, business and migration owners before SIT execution.</w:t>
            </w:r>
          </w:p>
        </w:tc>
      </w:tr>
    </w:tbl>
    <w:p>
      <w:pPr>
        <w:spacing w:after="6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7"/>
        <w:szCs w:val="17"/>
      </w:rPr>
      <w:t xml:space="preserve">Version 1.0 · Approved · Page </w:t>
    </w:r>
    <w:r>
      <w:rPr>
        <w:color w:val="6B7280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7"/>
        <w:szCs w:val="17"/>
      </w:rPr>
      <w:t xml:space="preserve"> of </w:t>
    </w:r>
    <w:r>
      <w:rPr>
        <w:color w:val="6B7280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7"/>
        <w:szCs w:val="17"/>
      </w:rPr>
      <w:t xml:space="preserve">Commercial Loan Policy Check · SIT QA Strategy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lowerLetter"/>
      <w:lvlText w:val="%2."/>
      <w:lvlJc w:val="start"/>
      <w:pPr>
        <w:ind w:left="1440" w:hanging="360"/>
      </w:pPr>
    </w:lvl>
    <w:lvl w:ilvl="2" w15:tentative="1">
      <w:start w:val="1"/>
      <w:numFmt w:val="lowerRoman"/>
      <w:lvlText w:val="%3."/>
      <w:lvlJc w:val="start"/>
      <w:pPr>
        <w:ind w:left="21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1"/>
        <w:szCs w:val="21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80"/>
    </w:pPr>
    <w:rPr>
      <w:b/>
      <w:bCs/>
      <w:color w:val="1F3864"/>
      <w:sz w:val="40"/>
      <w:szCs w:val="40"/>
    </w:rPr>
  </w:style>
  <w:style w:type="paragraph" w:styleId="Heading1">
    <w:name w:val="Heading 1"/>
    <w:basedOn w:val="Normal"/>
    <w:next w:val="Normal"/>
    <w:qFormat/>
    <w:pPr>
      <w:keepNext/>
      <w:spacing w:after="120" w:before="360"/>
    </w:pPr>
    <w:rPr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60"/>
    </w:pPr>
    <w:rPr>
      <w:b/>
      <w:bCs/>
      <w:color w:val="1F3864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200"/>
    </w:pPr>
    <w:rPr>
      <w:b/>
      <w:bCs/>
      <w:color w:val="1F2937"/>
      <w:sz w:val="22"/>
      <w:szCs w:val="22"/>
    </w:rPr>
  </w:style>
  <w:style w:type="paragraph" w:styleId="Heading4">
    <w:name w:val="Heading 4"/>
    <w:basedOn w:val="Normal"/>
    <w:next w:val="Normal"/>
    <w:qFormat/>
    <w:pPr>
      <w:keepNext/>
      <w:spacing w:after="60" w:before="160"/>
    </w:pPr>
    <w:rPr>
      <w:b/>
      <w:bCs/>
      <w:i/>
      <w:iCs/>
      <w:color w:val="1F2937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SIT QA Strategy: Commercial Loan Policy Check</dc:title>
  <dc:creator>SDLC CAPM</dc:creator>
  <dc:description>SIT QA Strategy for Commercial Loan Policy Check</dc:description>
  <cp:lastModifiedBy>Un-named</cp:lastModifiedBy>
  <cp:revision>1</cp:revision>
  <dcterms:created xsi:type="dcterms:W3CDTF">2026-10-19T17:19:13.708Z</dcterms:created>
  <dcterms:modified xsi:type="dcterms:W3CDTF">2026-10-19T17:19:13.708Z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