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UAT QA Strategy: Commercial Loan Policy Check</w:t>
      </w:r>
    </w:p>
    <w:p>
      <w:pPr>
        <w:spacing w:after="80" w:before="120"/>
      </w:pPr>
      <w:r>
        <w:rPr>
          <w:b/>
          <w:bCs/>
          <w:color w:val="1F3864"/>
        </w:rPr>
        <w:t xml:space="preserve">Document control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</w:tblGrid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UAT QA Strategy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Commercial Loan Policy Check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1.0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Approved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UAT lead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vivek (UAT lead)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Approved on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19 October 2026 at 11:21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Written by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UAT lead agent via GitHub Copilot (copilot/claude-fable-5.1)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Template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standard/uat-strategy.md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Purpose and objectives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Confirm through business-led evidence that the policy-check, exception and history processes support the approved requirements before go-live. [BRD FR-01–FR-24]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Confirm business users can understand the results, take the required actions and find migrated borrower history. [BRD FR-10–FR-18; FR-23]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Give the business owners evidence to accept each process or record a reason for not accepting it. [ASSUMPTION: business acceptance will be recorded against UAT evidence.]</w:t>
      </w:r>
    </w:p>
    <w:p>
      <w:pPr>
        <w:pStyle w:val="Heading1"/>
      </w:pPr>
      <w:r>
        <w:t xml:space="preserve">Scope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Accept the business flows for application policy checks, exception decisions, check and decision records, access to results, and checklist-history migration. [BRD FR-01–FR-24]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Include each BRD requirement in UAT scope; requirements whose acceptance details are unresolved cannot be tested until those details are approved. [BRD NFR-02–NFR-06; intake Q3; Q6–Q11]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Do not repeat technical integration testing. SIT exit evidence is a UAT entry requirement. [SIT QA Strategy §Exit criteria]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No report testing is planned because no reports are specified. [BRD Report requirements]</w:t>
      </w:r>
    </w:p>
    <w:p>
      <w:pPr>
        <w:pStyle w:val="Heading1"/>
      </w:pPr>
      <w:r>
        <w:t xml:space="preserve">Requirements in scope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BRD ID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In UAT scope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Reason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Start a policy check when an RM submits an application for policy checking. [BRD FR-01]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application submission flow from the RM’s perspective.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Pass the DSCR rule when DSCR is at least 1.25x. [BRD FR-02]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business rule using cases at and around the stated limit.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For real-estate collateral, pass the LTV rule when LTV is at most 75%. [BRD FR-03]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stated rule for real-estate collateral; non-real-estate handling remains unresolved. [intake Q3]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Pass the exposure rule when total exposure to one borrower, including existing loans, is at most $10M. [BRD FR-04]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stated rule using total borrower exposure.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FR-05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Treat a risk rating from 1 to 6 as eligible. [BRD FR-05]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stated eligibility range.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FR-06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Decline a loan with a risk rating of 7 or worse, without an exception path. [BRD FR-06; intake Q2]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decline outcome and absence of an exception path.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FR-07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Require an exception decision before a loan can proceed when a rule fails and the loan is not declined. [BRD FR-07; intake Q2]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business decision gate.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FR-08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Assign an exception decision to a senior credit officer when the loan amount is above $5M. [BRD FR-08; intake Q1]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stated decision routing.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FR-09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Assign an exception decision to a credit officer when the loan amount is $5M or less. [BRD FR-09; intake Q1]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stated decision routing.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FR-10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Show borrower name, loan ID, amount, collateral type, DSCR, LTV, existing exposure to the borrower and risk rating on the application summary. [BRD FR-10]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information visible to the RM.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Provide a “Submit for policy check” action on the application summary. [BRD FR-11]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action in the business flow.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Show a Pass or Fail outcome for each DSCR, LTV, exposure and risk rating rule. [BRD FR-12]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displayed outcomes for all four rules.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For each failed rule, show its reason, actual value and limit. [BRD FR-13]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failed-rule information shown to the user.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Show “Request exception” only when a rule fails and the loan is not declined. [BRD FR-14; intake Q2]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when the action is available and when it is absent.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FR-15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Show failed rules and their reasons on the exception request. [BRD FR-15]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information carried into the request.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FR-16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Provide an RM justification text box on the exception request. [BRD FR-16]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RM’s ability to enter a justification.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FR-17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Identify the deciding role as credit officer or senior credit officer on the exception request. [BRD FR-17; intake Q1]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displayed deciding role against the loan amount.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FR-18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Provide “Approve exception” and “Decline” actions. [BRD FR-18]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decision actions and resulting decision.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FR-19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Keep a full record of every policy check and every decision. [BRD FR-19]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evidence that the check and decision records are retained; required record contents must be confirmed. [NFR-05; intake Q10]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FR-20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Restrict policy-check results to RMs and credit staff. [BRD FR-20]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access for the stated groups and denial for a test user outside them.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FR-21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Migrate every legacy checklist row submitted in the three years before go-live. [BRD FR-21; intake Q4]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history population against an approved cutoff and source reconciliation.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FR-22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Migrate the legacy checklist fields loan ID, borrower, submitted date, amount, DSCR, LTV, existing exposure, risk rating, result and checker. [BRD FR-22]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specified fields against approved migration evidence.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FR-23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Make migrated checklist history available to show a borrower’s history. [BRD FR-23; intake Q4]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that users can find and view migrated borrower history; the lookup method must be confirmed.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FR-24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Migrate a legacy checklist row that has no loan ID. [BRD FR-24]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migration of the row with the missing loan ID.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NFR-01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Restrict policy-check results to RMs and credit staff; further access controls require confirmation. [BRD NFR-01; intake Q6]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the stated restriction; additional controls require approved criteria before testing.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NFR-02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ASSUMPTION: Protect borrower financial details from access beyond permitted groups; privacy controls are to be confirmed. [BRD NFR-02; intake Q7]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Test only after privacy controls and expected outcomes are approved.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NFR-03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ASSUMPTION: Retain checks, decisions and migrated checklist records for a period to be confirmed. [BRD NFR-03; intake Q8]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Test only after the retention period is approved.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NFR-04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ASSUMPTION: Meet accessibility requirements to be confirmed. [BRD NFR-04; intake Q9]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Test only against approved accessibility criteria.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NFR-05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Keep a full record of every check and decision; required contents are to be confirmed. [BRD NFR-05; intake Q10]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Accept record existence; test detailed contents only after they are approved.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NFR-06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ASSUMPTION: Return policy-check results within 3 seconds of submission. [BRD NFR-06; intake Q5]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Test against 3 seconds after measurement points and conditions are approved.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Business processes to accept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Process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Requirements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Business owner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Submit an application and review policy results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FR-01, FR-02, FR-03, FR-04, FR-05, FR-06, FR-10, FR-11, FR-12, FR-13, FR-14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RM lead [BRD Stakeholders]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Request and decide an exception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FR-07, FR-08, FR-09, FR-15, FR-16, FR-17, FR-18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Credit lead [BRD Stakeholders]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Review check and decision records and access to results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FR-19, FR-20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Credit lead [ASSUMPTION: business owner for records and access must be confirmed.]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Find and review migrated borrower history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FR-21, FR-22, FR-23, FR-24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Credit lead [ASSUMPTION: business owner for migration acceptance must be confirmed; credit lead proposed migration of checklist history. BRD Stakeholders; kickoff-call-transcript.txt 12:40]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Participants and roles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Who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UAT lead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UAT lead; name not provided [Project information]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Coordinate UAT, maintain requirement coverage and evidence, manage defects, and prepare the acceptance summary.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RM testers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RMs; individual participants not provided [ASSUMPTION]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Run application submission and policy-result scenarios; raise and retest defects.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Credit testers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Credit officers and senior credit officers; individual participants not provided [BRD FR-08; FR-09]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Run exception decision scenarios and review check records and borrower history.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Business process owners and sign-off owners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RM lead for application checks; credit lead for exceptions; credit lead provisionally for records, access and migration [BRD Stakeholders; ASSUMPTION for provisional assignments]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Confirm expected business outcomes, review evidence, accept or reject each process, and record residual defect decisions.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UAT support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Policy-check system and migration support leads; names not provided [ASSUMPTION]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Prepare the UAT build and data, support access and investigate defects. Business users do not perform technical diagnosis.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Project manager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Project manager; name not provided [BRD Stakeholders]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Coordinate UAT dependencies and schedule decisions.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Approach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Business users run end-to-end flows using the application summary, the “Submit for policy check” action, results, and exception actions. [BRD FR-01; FR-10–FR-18]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Use prepared cases for passing rules, failed rules, multiple failed rules, and a declined loan. Check the displayed Pass or Fail outcomes, and for failed rules check the reason, actual value and limit. [BRD FR-02–FR-06; FR-12–FR-14]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Check routing at the stated $5M threshold and confirm the deciding role shown on the exception request. [BRD FR-08; FR-09; FR-17]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Credit users review evidence that each check and decision has a record. The method and required record contents must be agreed before UAT; no report format or frequency is specified. [BRD FR-19; NFR-05; BRD Report requirements; intake Q10]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Review migration reconciliation for the approved three-year population and specified fields, including a row without a loan ID; then find and review borrower history. [BRD FR-21–FR-24; intake Q4]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No report checks are planned because the BRD specifies no reports. [BRD Report requirements]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Record each executed case, result, supporting evidence, tester and linked requirement. [ASSUMPTION: UAT evidence repository and format must be agreed before execution.]</w:t>
      </w:r>
    </w:p>
    <w:p>
      <w:pPr>
        <w:pStyle w:val="Heading1"/>
      </w:pPr>
      <w:r>
        <w:t xml:space="preserve">UAT environment and data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Use a designated UAT environment with the application submission and policy-check flows available. Environment name, system versions and access setup are not provided and must be confirmed. [BRD System interfaces; ASSUMPTION]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Use synthetic application data for business-flow tests, covering the stated rules and thresholds. Confirm field precision before preparing boundary cases. [BRD FR-02–FR-09; ASSUMPTION: synthetic data will be available.]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Use RM, credit officer and senior credit officer test access, plus a test user outside the permitted groups. Confirm role setup before testing access. [BRD FR-08; FR-09; FR-20; intake Q6]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Use an approved, protected migration copy and approved three-year cutoff. Do not include personal or confidential values in UAT evidence. [BRD FR-21–FR-24; intake Q4; ASSUMPTION: approved data-handling controls must be confirmed.]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Confirm the borrower-history lookup method, migration reconciliation evidence and how users can observe check and decision records before UAT begins. [BRD FR-19; FR-23; NFR-05; intake Q10]</w:t>
      </w:r>
    </w:p>
    <w:p>
      <w:pPr>
        <w:pStyle w:val="Heading1"/>
      </w:pPr>
      <w:r>
        <w:t xml:space="preserve">Entry criteria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SIT exit is recorded as met and approved. Evidence must show all approved mandatory SIT cases passed, no open Severity 1 or Severity 2 defects, migration reconciliation completed, and the SIT exit criteria met. [SIT QA Strategy §Exit criteria]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The UAT build and required business flows are available in the agreed UAT environment. [ASSUMPTION: build readiness confirmation will be recorded.]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UAT cases and a traceability record cover every requirement marked Yes in the Requirements in scope table. [ASSUMPTION: UAT lead maintains the traceability record.]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RM and credit test users are available, and permitted and non-permitted access roles are confirmed. [BRD FR-20; intake Q6]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Approved synthetic application cases and protected migration data are available, including the source population and confirmed three-year cutoff. [BRD FR-21–FR-24; intake Q4]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Acceptance details are approved for non-real-estate LTV, privacy controls, retention, accessibility, record contents, and the 3-second measurement conditions before testing those items. [intake Q3; Q5–Q10]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Business owners and sign-off owners are confirmed for each process in the Business processes to accept table. [ASSUMPTION: confirmation is required because some ownership assignments are provisional.]</w:t>
      </w:r>
    </w:p>
    <w:p>
      <w:pPr>
        <w:pStyle w:val="Heading1"/>
      </w:pPr>
      <w:r>
        <w:t xml:space="preserve">Exit and sign-off criteria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Every UAT case linked to an in-scope requirement has a recorded result and evidence; every requirement is either accepted or has a documented, approved reason it could not be tested. [ASSUMPTION: evidence is stored in the agreed UAT repository.]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All mandatory UAT cases pass. Any failed case is linked to a defect or an approved requirement clarification. [ASSUMPTION: mandatory-case pass is required for exit.]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No open Severity 1 or Severity 2 defects remain. Any open lower-severity defect has a documented workaround or disposition accepted by the relevant business owner. [ASSUMPTION: severity definitions and disposition process must be agreed before UAT.]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Migration evidence shows the approved source population and loaded population reconcile, all specified fields match, and the row without a loan ID is included. [BRD FR-21–FR-24]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Access evidence shows results are available to the tested RM and credit users and unavailable to the tested user outside those groups. [BRD FR-20; NFR-01]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The RM lead signs off the application-check process, and the credit lead signs off the exception process. The credit lead signs off records, access and migration only after that ownership is confirmed. Sign-off is recorded against the UAT evidence and residual defect list. [BRD Stakeholders; ASSUMPTION for records, access and migration ownership]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The overall business acceptance decision is signed by the designated business owner for the policy-check solution; that role is not identified in the approved material and must be assigned before UAT sign-off. [BRD Stakeholders; ASSUMPTION]</w:t>
      </w:r>
    </w:p>
    <w:p>
      <w:pPr>
        <w:pStyle w:val="Heading1"/>
      </w:pPr>
      <w:r>
        <w:t xml:space="preserve">Defect management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Business testers raise defects through the agreed UAT tracking method and include the affected requirement, case, steps, expected and actual result, and evidence. [ASSUMPTION: tracking method and required fields must be agreed.]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Triage includes the UAT lead, relevant business owner and support lead. They record severity, business impact, owner and disposition. [ASSUMPTION: triage participants and cadence must be confirmed.]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Proposed severity levels, subject to business approval: Severity 1 blocks a critical business flow or produces materially incorrect results with no workaround; Severity 2 blocks a required flow or control with no acceptable workaround; Severity 3 has a documented workaround; Severity 4 has no material effect on required behavior. [ASSUMPTION: severity scale is not specified in the approved documents.]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Support leads investigate and fix defects; the business tester retests the failed case and relevant related cases. [ASSUMPTION: support and retest assignments must be confirmed.]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Business owners decide whether lower-severity residual defects are acceptable and record the decision in the sign-off evidence. [ASSUMPTION: residual defect authority must be confirmed.]</w:t>
      </w:r>
    </w:p>
    <w:p>
      <w:pPr>
        <w:pStyle w:val="Heading1"/>
      </w:pPr>
      <w:r>
        <w:t xml:space="preserve">Schedule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No UAT dates or durations are provided. The project manager and UAT lead must agree and record them before execution. [BRD Requirement sessions]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Preparation: confirm owners, acceptance details, UAT cases, environment, access and data.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UAT entry: verify the approved SIT exit evidence and all other entry criteria.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Business execution: run application-check, exception, records/access and migration-history flows.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Defect correction and retest: triage defects, retest fixes and run related business cases.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Exit and sign-off: review requirement evidence, unresolved defects and process-owner decisions.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Migration testing depends on an approved source population and three-year cutoff; testing of unresolved NFRs depends on approved measurable criteria. [BRD FR-21–FR-24; intake Q4–Q10]</w:t>
      </w:r>
    </w:p>
    <w:p>
      <w:pPr>
        <w:pStyle w:val="Heading1"/>
      </w:pPr>
      <w:r>
        <w:t xml:space="preserve">Risks and mitigations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Business owners for records, access, migration and overall solution acceptance are not fully identified. [BRD Stakeholders; ASSUMPTION]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UAT decisions or final sign-off may be delayed or disputed.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Assign and record a sign-off owner for each process before UAT entry.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Non-real-estate LTV behavior remains unresolved. [intake Q3]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Users cannot judge results for those applications consistently.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Approve the expected business behavior before testing affected cases; do not infer a rule.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Access, privacy, retention and accessibility criteria remain unresolved. [intake Q6–Q9]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The relevant acceptance evidence cannot be assessed objectively.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Approve measurable criteria and required test access before testing those items.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Required contents of check and decision records are unresolved. [intake Q10]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Business users may not be able to determine whether record evidence is complete.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Approve the required record contents and business-observable evidence method before UAT.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The migration cutoff depends on the go-live date, which is not provided. [intake Q4]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The history population may be disputed.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Confirm the go-live date, three-year cutoff and reconciliation method before migration acceptance.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UAT environment and data-handling arrangements are not specified. [ASSUMPTION]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Testing may be delayed or expose confidential information.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Confirm the environment, access, approved test data and evidence-handling controls before entry.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Business objective measures are not specified. [BRD BO-01–BO-03]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UAT cannot establish measured improvement against those objectives.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Record that UAT accepts requirement behavior; agree objective measures separately if they are needed for acceptance.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Version 1.0 · Approved · 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7"/>
        <w:szCs w:val="17"/>
      </w:rPr>
      <w:t xml:space="preserve">Commercial Loan Policy Check · UAT QA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</w:pPr>
    <w:rPr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b/>
      <w:bCs/>
      <w:color w:val="1F2937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60"/>
    </w:pPr>
    <w:rPr>
      <w:b/>
      <w:bCs/>
      <w:i/>
      <w:iCs/>
      <w:color w:val="1F29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QA Strategy: Commercial Loan Policy Check</dc:title>
  <dc:creator>SDLC CAPM</dc:creator>
  <dc:description>UAT QA Strategy for Commercial Loan Policy Check</dc:description>
  <cp:lastModifiedBy>Un-named</cp:lastModifiedBy>
  <cp:revision>1</cp:revision>
  <dcterms:created xsi:type="dcterms:W3CDTF">2026-10-19T17:19:13.746Z</dcterms:created>
  <dcterms:modified xsi:type="dcterms:W3CDTF">2026-10-19T17:19:13.746Z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