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80.7058334350586"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br w:type="textWrapping"/>
      </w:r>
      <w:r w:rsidDel="00000000" w:rsidR="00000000" w:rsidRPr="00000000">
        <w:rPr>
          <w:rFonts w:ascii="Times" w:cs="Times" w:eastAsia="Times" w:hAnsi="Times"/>
          <w:b w:val="1"/>
          <w:sz w:val="18.24349021911621"/>
          <w:szCs w:val="18.24349021911621"/>
          <w:rtl w:val="0"/>
        </w:rPr>
        <w:t xml:space="preserve">2. Year 2022-2023 -A recap of key developments in the regulatory regime  </w:t>
      </w:r>
      <w:r w:rsidDel="00000000" w:rsidR="00000000" w:rsidRPr="00000000">
        <w:rPr>
          <w:rtl w:val="0"/>
        </w:rPr>
      </w:r>
    </w:p>
    <w:p w:rsidR="00000000" w:rsidDel="00000000" w:rsidP="00000000" w:rsidRDefault="00000000" w:rsidRPr="00000000" w14:paraId="00000002">
      <w:pPr>
        <w:widowControl w:val="0"/>
        <w:spacing w:before="174.6826171875" w:line="205.22164821624756"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&gt; In May 2022, the UK ICO issued a consultation paper, calling for views on Privacy in  product design'.  </w:t>
        <w:br w:type="textWrapping"/>
        <w:t xml:space="preserve">&gt; In October 2022, the UK lCO issued detailed PECR guidance on direct marketing using  electronic mail and live calls.  </w:t>
        <w:br w:type="textWrapping"/>
        <w:t xml:space="preserve">&gt; In October 2022, the UK ICO issued a consultation on draft employment practices  guidance information about workers' health, which aims to provide practical  guidance about handling the health information of workers in accordance with data  protection legislation and to promote good practice.  </w:t>
        <w:br w:type="textWrapping"/>
        <w:t xml:space="preserve">&gt; In November 2022, the UK ICO published an update to its guidance on international  transfers (Transfers Guidance), which includes specific guidance about transfer risk  assessments or TRAS and a tool for undertaking TRAS (the TRA Guidance and TRA Tool,  respectively).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