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94.6539306640625" w:line="240" w:lineRule="auto"/>
        <w:ind w:left="90" w:right="270" w:firstLine="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b w:val="1"/>
          <w:sz w:val="18.24349021911621"/>
          <w:szCs w:val="18.24349021911621"/>
          <w:rtl w:val="0"/>
        </w:rPr>
        <w:t xml:space="preserve">3.10 Marketing </w:t>
      </w: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110.101318359375" w:line="221.41542434692383" w:lineRule="auto"/>
        <w:ind w:left="90" w:right="270" w:firstLine="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The customer must be given the opportunity to opt out of receiving marketing by the  Bank, Group and third parties. This should be by way of an opt out/opt in section on an  application form and included in the promotional messages sent by the Bank. In addition,  </w:t>
      </w:r>
    </w:p>
    <w:p w:rsidR="00000000" w:rsidDel="00000000" w:rsidP="00000000" w:rsidRDefault="00000000" w:rsidRPr="00000000" w14:paraId="00000003">
      <w:pPr>
        <w:widowControl w:val="0"/>
        <w:spacing w:line="207.11493015289307" w:lineRule="auto"/>
        <w:ind w:left="90" w:right="270" w:firstLine="0"/>
        <w:rPr>
          <w:rFonts w:ascii="Times" w:cs="Times" w:eastAsia="Times" w:hAnsi="Times"/>
          <w:sz w:val="18.24349021911621"/>
          <w:szCs w:val="18.24349021911621"/>
          <w:u w:val="single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customers may be reminded regularly in line with the Banking Conduct Regime (PSR &amp; BCOBs). In case of direct marketing by email, the employee must consider the UK ICO  guidance, detailed at </w:t>
      </w: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u w:val="single"/>
          <w:rtl w:val="0"/>
        </w:rPr>
        <w:t xml:space="preserve">Guidance on direct marketing using electronic mail | ICO.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