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90.040283203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3.21 Substantial Damage and Distress Claims  </w:t>
      </w:r>
    </w:p>
    <w:p w:rsidR="00000000" w:rsidDel="00000000" w:rsidP="00000000" w:rsidRDefault="00000000" w:rsidRPr="00000000" w14:paraId="00000002">
      <w:pPr>
        <w:widowControl w:val="0"/>
        <w:spacing w:before="116.732177734375" w:line="220.509724617004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will respond within as soon as possible of no later than a month to all claims  made under Article 79 (right to prevent processing likely to cause damage or distress) of  the GDPR. The Data Protection Officer will handle all such claims, with legal input if  appropriate.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