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495.8868408203125" w:line="240" w:lineRule="auto"/>
        <w:ind w:left="90" w:right="270" w:firstLine="0"/>
        <w:rPr>
          <w:rFonts w:ascii="Times" w:cs="Times" w:eastAsia="Times" w:hAnsi="Times"/>
          <w:b w:val="1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b w:val="1"/>
          <w:sz w:val="18.24349021911621"/>
          <w:szCs w:val="18.24349021911621"/>
          <w:rtl w:val="0"/>
        </w:rPr>
        <w:t xml:space="preserve">3.9 Cookies  </w:t>
      </w:r>
    </w:p>
    <w:p w:rsidR="00000000" w:rsidDel="00000000" w:rsidP="00000000" w:rsidRDefault="00000000" w:rsidRPr="00000000" w14:paraId="00000002">
      <w:pPr>
        <w:widowControl w:val="0"/>
        <w:spacing w:before="167.4237060546875" w:line="205.19597053527832" w:lineRule="auto"/>
        <w:ind w:left="90" w:right="270" w:firstLine="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Cookies, IP addresses or similar devices must not be used unless the customer or the user  of ICICI Bank's website: 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150.5731201171875" w:line="217.8078031539917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 is provided with clear, unambiguous and comprehensive information about the  purposes of access, processing and storage of that information; and 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0" w:beforeAutospacing="0" w:line="217.8078031539917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 has freely given his or her consent to enable non-essential cookies which includes  analytics cookies too.  </w:t>
      </w:r>
    </w:p>
    <w:p w:rsidR="00000000" w:rsidDel="00000000" w:rsidP="00000000" w:rsidRDefault="00000000" w:rsidRPr="00000000" w14:paraId="00000005">
      <w:pPr>
        <w:widowControl w:val="0"/>
        <w:spacing w:before="157.6593017578125" w:line="240" w:lineRule="auto"/>
        <w:ind w:left="90" w:right="270" w:firstLine="0"/>
        <w:rPr>
          <w:rFonts w:ascii="Times" w:cs="Times" w:eastAsia="Times" w:hAnsi="Times"/>
          <w:b w:val="1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b w:val="1"/>
          <w:sz w:val="18.24349021911621"/>
          <w:szCs w:val="18.24349021911621"/>
          <w:rtl w:val="0"/>
        </w:rPr>
        <w:t xml:space="preserve">Refer Appendix 6 for the Cookies Policy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