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9250" w14:textId="2DE70034" w:rsidR="007B4629" w:rsidRDefault="0067562D">
      <w:pPr>
        <w:rPr>
          <w:sz w:val="28"/>
          <w:u w:val="single"/>
        </w:rPr>
      </w:pPr>
      <w:r>
        <w:rPr>
          <w:b/>
          <w:bCs/>
          <w:sz w:val="28"/>
          <w:u w:val="single"/>
        </w:rPr>
        <w:t>Supplementary</w:t>
      </w:r>
      <w:r w:rsidR="00000000">
        <w:rPr>
          <w:b/>
          <w:bCs/>
          <w:sz w:val="28"/>
          <w:u w:val="single"/>
        </w:rPr>
        <w:t xml:space="preserve"> Material-6: Mathematical Model of </w:t>
      </w:r>
      <w:r w:rsidR="00A70327">
        <w:rPr>
          <w:b/>
          <w:bCs/>
          <w:sz w:val="28"/>
          <w:u w:val="single"/>
        </w:rPr>
        <w:t xml:space="preserve">GCN used in </w:t>
      </w:r>
      <w:r w:rsidR="00000000">
        <w:rPr>
          <w:b/>
          <w:bCs/>
          <w:sz w:val="28"/>
          <w:u w:val="single"/>
        </w:rPr>
        <w:t>Proposed BDL-SP Model</w:t>
      </w:r>
    </w:p>
    <w:p w14:paraId="7B02CF37" w14:textId="77777777" w:rsidR="007B4629" w:rsidRDefault="007B4629">
      <w:pPr>
        <w:rPr>
          <w:sz w:val="28"/>
          <w:u w:val="single"/>
        </w:rPr>
      </w:pPr>
    </w:p>
    <w:p w14:paraId="35D46E1D" w14:textId="1C6AD5E5" w:rsidR="007B4629" w:rsidRDefault="00000000">
      <w:pPr>
        <w:pStyle w:val="BodyText"/>
        <w:jc w:val="both"/>
        <w:rPr>
          <w:rFonts w:ascii="Times New Roman" w:hAnsi="Times New Roman"/>
          <w:color w:val="000000"/>
        </w:rPr>
      </w:pPr>
      <w:bookmarkStart w:id="0" w:name="docs-internal-guid-1d6928c5-7fff-33a9-72"/>
      <w:bookmarkEnd w:id="0"/>
      <w:r>
        <w:rPr>
          <w:rFonts w:ascii="Times New Roman" w:hAnsi="Times New Roman"/>
          <w:color w:val="000000"/>
        </w:rPr>
        <w:t xml:space="preserve">An undirected graph </w:t>
      </w:r>
      <w:r>
        <w:rPr>
          <w:color w:val="000000"/>
          <w:sz w:val="20"/>
        </w:rPr>
        <w:t xml:space="preserve">𝓖 </w:t>
      </w:r>
      <w:r>
        <w:rPr>
          <w:rFonts w:ascii="Times New Roman" w:hAnsi="Times New Roman"/>
          <w:color w:val="000000"/>
        </w:rPr>
        <w:t>= (</w:t>
      </w:r>
      <w:r>
        <w:rPr>
          <w:color w:val="000000"/>
          <w:sz w:val="20"/>
        </w:rPr>
        <w:t>𝓥</w:t>
      </w:r>
      <w:r>
        <w:rPr>
          <w:rFonts w:ascii="Times New Roman" w:hAnsi="Times New Roman"/>
          <w:color w:val="000000"/>
        </w:rPr>
        <w:t xml:space="preserve">, </w:t>
      </w:r>
      <w:r>
        <w:rPr>
          <w:color w:val="000000"/>
          <w:sz w:val="20"/>
        </w:rPr>
        <w:t>𝓔</w:t>
      </w:r>
      <w:r>
        <w:rPr>
          <w:rFonts w:ascii="Times New Roman" w:hAnsi="Times New Roman"/>
          <w:color w:val="000000"/>
        </w:rPr>
        <w:t xml:space="preserve">) is a collection of a finite set of nodes </w:t>
      </w:r>
      <w:r>
        <w:rPr>
          <w:color w:val="000000"/>
          <w:sz w:val="20"/>
        </w:rPr>
        <w:t xml:space="preserve">𝓥 </w:t>
      </w:r>
      <w:r>
        <w:rPr>
          <w:rFonts w:ascii="Times New Roman" w:hAnsi="Times New Roman"/>
          <w:color w:val="000000"/>
        </w:rPr>
        <w:t xml:space="preserve">and a finite set of edges </w:t>
      </w:r>
      <w:r>
        <w:rPr>
          <w:color w:val="000000"/>
          <w:sz w:val="20"/>
        </w:rPr>
        <w:t>𝓔</w:t>
      </w:r>
      <w:r>
        <w:rPr>
          <w:rFonts w:ascii="Times New Roman" w:hAnsi="Times New Roman"/>
          <w:color w:val="000000"/>
        </w:rPr>
        <w:t>. The nodes in the graph represent the significantly altered genes, and the edges represent the interaction between them. The feature vector having 28 genomic features at each node corresponds to the genomic profiles of each significantly altered gene. In the spectral GCN, the graph connectedness is represented by a graph Laplacian that uses node degree and adjacency information. The normalized graph Laplacian (also called normalized symmetric adjacency matrix) can be defined as</w:t>
      </w:r>
    </w:p>
    <w:p w14:paraId="2ED124FD" w14:textId="7BFB994A" w:rsidR="007B4629" w:rsidRPr="005F1AF5" w:rsidRDefault="005F1AF5" w:rsidP="005F1AF5">
      <w:pPr>
        <w:pStyle w:val="BodyText"/>
        <w:jc w:val="both"/>
      </w:pPr>
      <m:oMathPara>
        <m:oMath>
          <m:r>
            <w:rPr>
              <w:rFonts w:ascii="Cambria Math" w:hAnsi="Cambria Math"/>
            </w:rPr>
            <m:t>L=I-</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0B6398D" w14:textId="77777777" w:rsidR="005F1AF5" w:rsidRDefault="005F1AF5" w:rsidP="005F1AF5">
      <w:pPr>
        <w:pStyle w:val="BodyText"/>
        <w:jc w:val="both"/>
      </w:pPr>
    </w:p>
    <w:p w14:paraId="2884C159" w14:textId="5C1423C7" w:rsidR="007B4629" w:rsidRDefault="00000000">
      <w:pPr>
        <w:pStyle w:val="BodyText"/>
        <w:spacing w:after="0" w:line="288" w:lineRule="auto"/>
        <w:jc w:val="both"/>
        <w:rPr>
          <w:rFonts w:ascii="Times New Roman" w:hAnsi="Times New Roman"/>
          <w:color w:val="000000"/>
        </w:rPr>
      </w:pPr>
      <w:r>
        <w:rPr>
          <w:rFonts w:ascii="Times New Roman" w:hAnsi="Times New Roman"/>
          <w:color w:val="000000"/>
        </w:rPr>
        <w:t xml:space="preserve">where </w:t>
      </w:r>
      <m:oMath>
        <m:r>
          <w:rPr>
            <w:rFonts w:ascii="Cambria Math" w:hAnsi="Cambria Math"/>
          </w:rPr>
          <m:t>D</m:t>
        </m:r>
      </m:oMath>
      <w:r>
        <w:rPr>
          <w:color w:val="000000"/>
        </w:rPr>
        <w:t xml:space="preserve"> </w:t>
      </w:r>
      <w:r>
        <w:rPr>
          <w:rFonts w:ascii="Times New Roman" w:hAnsi="Times New Roman"/>
          <w:color w:val="000000"/>
        </w:rPr>
        <w:t>is the degree matrix such that</w:t>
      </w:r>
      <w:r w:rsidR="00DE0099">
        <w:rPr>
          <w:rFonts w:ascii="Times New Roman" w:hAnsi="Times New Roman"/>
          <w:color w:val="000000"/>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i,j</m:t>
            </m:r>
          </m:sub>
        </m:sSub>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j=1</m:t>
            </m:r>
          </m:sub>
          <m:sup>
            <m:r>
              <w:rPr>
                <w:rFonts w:ascii="Cambria Math" w:hAnsi="Cambria Math"/>
                <w:color w:val="000000"/>
              </w:rPr>
              <m:t>n</m:t>
            </m:r>
          </m:sup>
          <m:e>
            <m:r>
              <w:rPr>
                <w:rFonts w:ascii="Cambria Math" w:hAnsi="Cambria Math"/>
                <w:color w:val="000000"/>
              </w:rPr>
              <m:t>A(i,j)</m:t>
            </m:r>
          </m:e>
        </m:nary>
      </m:oMath>
      <w:r>
        <w:rPr>
          <w:color w:val="000000"/>
        </w:rPr>
        <w:t xml:space="preserve"> </w:t>
      </w:r>
      <w:r>
        <w:rPr>
          <w:rFonts w:ascii="Times New Roman" w:hAnsi="Times New Roman"/>
          <w:color w:val="000000"/>
        </w:rPr>
        <w:t>and </w:t>
      </w:r>
      <m:oMath>
        <m:acc>
          <m:accPr>
            <m:chr m:val="̃"/>
            <m:ctrlPr>
              <w:rPr>
                <w:rFonts w:ascii="Cambria Math" w:hAnsi="Cambria Math"/>
                <w:i/>
                <w:color w:val="000000"/>
              </w:rPr>
            </m:ctrlPr>
          </m:accPr>
          <m:e>
            <m:r>
              <w:rPr>
                <w:rFonts w:ascii="Cambria Math" w:hAnsi="Cambria Math"/>
                <w:color w:val="000000"/>
              </w:rPr>
              <m:t>A</m:t>
            </m:r>
          </m:e>
        </m:acc>
        <m:r>
          <w:rPr>
            <w:rFonts w:ascii="Cambria Math" w:hAnsi="Cambria Math"/>
            <w:color w:val="000000"/>
          </w:rPr>
          <m:t>=A+I</m:t>
        </m:r>
      </m:oMath>
      <w:r>
        <w:rPr>
          <w:rFonts w:ascii="Times New Roman" w:hAnsi="Times New Roman"/>
          <w:color w:val="000000"/>
        </w:rPr>
        <w:t xml:space="preserve"> where </w:t>
      </w:r>
      <m:oMath>
        <m:r>
          <w:rPr>
            <w:rFonts w:ascii="Cambria Math" w:hAnsi="Cambria Math"/>
            <w:color w:val="000000"/>
          </w:rPr>
          <m:t>A</m:t>
        </m:r>
      </m:oMath>
      <w:r>
        <w:rPr>
          <w:color w:val="000000"/>
        </w:rPr>
        <w:t xml:space="preserve"> </w:t>
      </w:r>
      <w:r>
        <w:rPr>
          <w:rFonts w:ascii="Times New Roman" w:hAnsi="Times New Roman"/>
          <w:color w:val="000000"/>
        </w:rPr>
        <w:t>is the adjacency matrix that can be written as</w:t>
      </w:r>
    </w:p>
    <w:p w14:paraId="71525627" w14:textId="60C8016D" w:rsidR="005F1AF5" w:rsidRDefault="005F1AF5">
      <w:pPr>
        <w:pStyle w:val="BodyText"/>
        <w:spacing w:after="0" w:line="288"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d>
                    <m:dPr>
                      <m:ctrlPr>
                        <w:rPr>
                          <w:rFonts w:ascii="Cambria Math" w:hAnsi="Cambria Math"/>
                          <w:i/>
                        </w:rPr>
                      </m:ctrlPr>
                    </m:dPr>
                    <m:e>
                      <m:r>
                        <w:rPr>
                          <w:rFonts w:ascii="Cambria Math" w:hAnsi="Cambria Math"/>
                        </w:rPr>
                        <m:t>i,j</m:t>
                      </m:r>
                    </m:e>
                  </m:d>
                  <m:r>
                    <w:rPr>
                      <w:rFonts w:ascii="Cambria Math" w:hAnsi="Cambria Math"/>
                    </w:rPr>
                    <m:t xml:space="preserve">ϵ </m:t>
                  </m:r>
                  <m:r>
                    <m:rPr>
                      <m:scr m:val="script"/>
                      <m:sty m:val="b"/>
                    </m:rPr>
                    <w:rPr>
                      <w:rFonts w:ascii="Cambria Math" w:hAnsi="Cambria Math"/>
                      <w:color w:val="000000"/>
                      <w:sz w:val="20"/>
                    </w:rPr>
                    <m:t>E</m:t>
                  </m:r>
                </m:e>
                <m:e>
                  <m:r>
                    <w:rPr>
                      <w:rFonts w:ascii="Cambria Math" w:hAnsi="Cambria Math"/>
                    </w:rPr>
                    <m:t>0 otherwise</m:t>
                  </m:r>
                </m:e>
              </m:eqArr>
            </m:e>
          </m:d>
        </m:oMath>
      </m:oMathPara>
    </w:p>
    <w:p w14:paraId="07FA3918" w14:textId="77777777" w:rsidR="007B4629" w:rsidRDefault="007B4629">
      <w:pPr>
        <w:pStyle w:val="BodyText"/>
      </w:pPr>
    </w:p>
    <w:p w14:paraId="41BB271E" w14:textId="18DB86A1" w:rsidR="007B4629" w:rsidRDefault="00000000">
      <w:pPr>
        <w:pStyle w:val="BodyText"/>
        <w:spacing w:after="0" w:line="288" w:lineRule="auto"/>
        <w:jc w:val="both"/>
        <w:rPr>
          <w:rFonts w:ascii="Times New Roman" w:hAnsi="Times New Roman"/>
          <w:color w:val="000000"/>
        </w:rPr>
      </w:pPr>
      <w:r>
        <w:rPr>
          <w:rFonts w:ascii="Times New Roman" w:hAnsi="Times New Roman"/>
          <w:color w:val="000000"/>
        </w:rPr>
        <w:t>The normalized graph Laplacian is a positive semi- definite matrix that can be decomposed  using eigenvalue decomposition as</w:t>
      </w:r>
    </w:p>
    <w:p w14:paraId="659BABD0" w14:textId="3C11A1BF" w:rsidR="007B4629" w:rsidRPr="005F1AF5" w:rsidRDefault="005F1AF5" w:rsidP="005F1AF5">
      <w:pPr>
        <w:pStyle w:val="BodyText"/>
        <w:spacing w:after="0" w:line="288" w:lineRule="auto"/>
        <w:jc w:val="both"/>
      </w:pPr>
      <m:oMathPara>
        <m:oMath>
          <m:r>
            <w:rPr>
              <w:rFonts w:ascii="Cambria Math" w:hAnsi="Cambria Math"/>
            </w:rPr>
            <m:t>L=U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m:oMathPara>
    </w:p>
    <w:p w14:paraId="0B76F687" w14:textId="77777777" w:rsidR="005F1AF5" w:rsidRDefault="005F1AF5" w:rsidP="005F1AF5">
      <w:pPr>
        <w:pStyle w:val="BodyText"/>
        <w:spacing w:after="0" w:line="288" w:lineRule="auto"/>
        <w:jc w:val="both"/>
      </w:pPr>
    </w:p>
    <w:p w14:paraId="44991DA6" w14:textId="5746D0F5" w:rsidR="008224DD" w:rsidRDefault="00000000">
      <w:pPr>
        <w:pStyle w:val="BodyText"/>
        <w:spacing w:after="0" w:line="288" w:lineRule="auto"/>
        <w:jc w:val="both"/>
        <w:rPr>
          <w:rFonts w:ascii="Times New Roman" w:hAnsi="Times New Roman"/>
          <w:color w:val="000000"/>
        </w:rPr>
      </w:pPr>
      <w:r>
        <w:rPr>
          <w:rFonts w:ascii="Times New Roman" w:hAnsi="Times New Roman"/>
          <w:color w:val="000000"/>
        </w:rPr>
        <w:t xml:space="preserve">where </w:t>
      </w:r>
      <m:oMath>
        <m:r>
          <w:rPr>
            <w:rFonts w:ascii="Cambria Math" w:hAnsi="Cambria Math"/>
          </w:rPr>
          <m:t>U</m:t>
        </m:r>
      </m:oMath>
      <w:r>
        <w:rPr>
          <w:color w:val="000000"/>
        </w:rPr>
        <w:t xml:space="preserve"> </w:t>
      </w:r>
      <w:r>
        <w:rPr>
          <w:rFonts w:ascii="Times New Roman" w:hAnsi="Times New Roman"/>
          <w:color w:val="000000"/>
        </w:rPr>
        <w:t xml:space="preserve">is the eigenvector of graph </w:t>
      </w:r>
      <w:r w:rsidR="00BC1F49">
        <w:rPr>
          <w:rFonts w:ascii="Times New Roman" w:hAnsi="Times New Roman"/>
          <w:color w:val="000000"/>
        </w:rPr>
        <w:t>Laplacian</w:t>
      </w:r>
      <w:r>
        <w:rPr>
          <w:rFonts w:ascii="Times New Roman" w:hAnsi="Times New Roman"/>
          <w:color w:val="000000"/>
        </w:rPr>
        <w:t xml:space="preserve"> and is a diagonal matrix having eigenvalues in its diagonal. The convolutional filters in spectral GCNs exploit the principles of Fourier and Laplace transform while scanning over a signal in n-dimensional non-Euclidean space. The convolution operation in the Fourier domain is defined by computing the eigen decomposition of the graph Laplacian. The graph signal represents the feature vector of all the nodes in the graph, expressed by</w:t>
      </w:r>
    </w:p>
    <w:p w14:paraId="201B2826" w14:textId="5207BA4F" w:rsidR="007B4629" w:rsidRDefault="008224DD">
      <w:pPr>
        <w:pStyle w:val="BodyText"/>
        <w:spacing w:after="0" w:line="288" w:lineRule="auto"/>
        <w:jc w:val="both"/>
        <w:rPr>
          <w:rFonts w:ascii="Times New Roman" w:hAnsi="Times New Roman"/>
          <w:color w:val="000000"/>
        </w:rPr>
      </w:pPr>
      <m:oMath>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r>
          <w:rPr>
            <w:rFonts w:ascii="Cambria Math" w:hAnsi="Cambria Math"/>
            <w:color w:val="000000"/>
          </w:rPr>
          <m:t>)ϵ</m:t>
        </m:r>
        <m:sSup>
          <m:sSupPr>
            <m:ctrlPr>
              <w:rPr>
                <w:rFonts w:ascii="Cambria Math" w:hAnsi="Cambria Math"/>
                <w:i/>
                <w:color w:val="000000"/>
              </w:rPr>
            </m:ctrlPr>
          </m:sSupPr>
          <m:e>
            <m:r>
              <m:rPr>
                <m:scr m:val="double-struck"/>
              </m:rPr>
              <w:rPr>
                <w:rFonts w:ascii="Cambria Math" w:hAnsi="Cambria Math"/>
                <w:color w:val="000000"/>
              </w:rPr>
              <m:t>R</m:t>
            </m:r>
          </m:e>
          <m:sup>
            <m:r>
              <m:rPr>
                <m:sty m:val="p"/>
              </m:rPr>
              <w:rPr>
                <w:rFonts w:ascii="Cambria Math" w:hAnsi="Cambria Math"/>
                <w:color w:val="000000"/>
              </w:rPr>
              <m:t>Ν</m:t>
            </m:r>
          </m:sup>
        </m:sSup>
      </m:oMath>
      <w:r w:rsidR="00000000">
        <w:rPr>
          <w:rFonts w:ascii="Times New Roman" w:hAnsi="Times New Roman"/>
          <w:color w:val="000000"/>
        </w:rPr>
        <w:t xml:space="preserve">. The </w:t>
      </w:r>
      <w:r w:rsidR="00DE0099">
        <w:rPr>
          <w:rFonts w:ascii="Times New Roman" w:hAnsi="Times New Roman"/>
          <w:color w:val="000000"/>
        </w:rPr>
        <w:t>Fourier</w:t>
      </w:r>
      <w:r w:rsidR="00000000">
        <w:rPr>
          <w:rFonts w:ascii="Times New Roman" w:hAnsi="Times New Roman"/>
          <w:color w:val="000000"/>
        </w:rPr>
        <w:t xml:space="preserve"> transform of the graph signal is given below:</w:t>
      </w:r>
    </w:p>
    <w:p w14:paraId="3A6459FA" w14:textId="0FD435BD" w:rsidR="005F1AF5" w:rsidRDefault="005F1AF5">
      <w:pPr>
        <w:pStyle w:val="BodyText"/>
        <w:spacing w:after="0" w:line="288" w:lineRule="auto"/>
        <w:jc w:val="both"/>
      </w:pPr>
      <m:oMathPara>
        <m:oMath>
          <m:acc>
            <m:accPr>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m:oMathPara>
    </w:p>
    <w:p w14:paraId="4CE00EA0" w14:textId="5B1E5778" w:rsidR="007B4629" w:rsidRDefault="007B4629">
      <w:pPr>
        <w:pStyle w:val="BodyText"/>
        <w:spacing w:after="0" w:line="288" w:lineRule="auto"/>
        <w:jc w:val="center"/>
      </w:pPr>
    </w:p>
    <w:p w14:paraId="4A9DDB47" w14:textId="6A36F57E" w:rsidR="007B4629" w:rsidRDefault="00000000">
      <w:pPr>
        <w:pStyle w:val="BodyText"/>
        <w:spacing w:after="0" w:line="288" w:lineRule="auto"/>
        <w:jc w:val="both"/>
        <w:rPr>
          <w:rFonts w:ascii="Times New Roman" w:hAnsi="Times New Roman"/>
          <w:color w:val="000000"/>
        </w:rPr>
      </w:pPr>
      <w:r>
        <w:rPr>
          <w:rFonts w:ascii="Times New Roman" w:hAnsi="Times New Roman"/>
          <w:color w:val="000000"/>
        </w:rPr>
        <w:t xml:space="preserve">The spectral convolution in between the graph signal </w:t>
      </w:r>
      <m:oMath>
        <m:r>
          <w:rPr>
            <w:rFonts w:ascii="Cambria Math" w:hAnsi="Cambria Math"/>
            <w:color w:val="000000"/>
          </w:rPr>
          <m:t>x</m:t>
        </m:r>
      </m:oMath>
      <w:r>
        <w:rPr>
          <w:rFonts w:ascii="Times New Roman" w:hAnsi="Times New Roman"/>
          <w:color w:val="000000"/>
        </w:rPr>
        <w:t xml:space="preserve"> and the filter </w:t>
      </w:r>
      <m:oMath>
        <m:sSub>
          <m:sSubPr>
            <m:ctrlPr>
              <w:rPr>
                <w:rFonts w:ascii="Cambria Math" w:hAnsi="Cambria Math"/>
                <w:i/>
              </w:rPr>
            </m:ctrlPr>
          </m:sSubPr>
          <m:e>
            <m:r>
              <w:rPr>
                <w:rFonts w:ascii="Cambria Math" w:hAnsi="Cambria Math"/>
              </w:rPr>
              <m:t>g</m:t>
            </m:r>
          </m:e>
          <m:sub>
            <m:r>
              <w:rPr>
                <w:rFonts w:ascii="Cambria Math" w:hAnsi="Cambria Math"/>
              </w:rPr>
              <m:t>θ</m:t>
            </m:r>
          </m:sub>
        </m:sSub>
      </m:oMath>
      <w:r>
        <w:rPr>
          <w:color w:val="000000"/>
        </w:rPr>
        <w:t xml:space="preserve"> </w:t>
      </w:r>
      <w:r>
        <w:rPr>
          <w:rFonts w:ascii="Times New Roman" w:hAnsi="Times New Roman"/>
          <w:color w:val="000000"/>
        </w:rPr>
        <w:t>can be written as </w:t>
      </w:r>
    </w:p>
    <w:p w14:paraId="1A38D1F1" w14:textId="77777777" w:rsidR="00BC1F49" w:rsidRDefault="00BC1F49">
      <w:pPr>
        <w:pStyle w:val="BodyText"/>
        <w:spacing w:after="0" w:line="288" w:lineRule="auto"/>
        <w:jc w:val="both"/>
        <w:rPr>
          <w:rFonts w:ascii="Times New Roman" w:hAnsi="Times New Roman"/>
          <w:color w:val="000000"/>
        </w:rPr>
      </w:pPr>
    </w:p>
    <w:p w14:paraId="65326A84" w14:textId="23DA163E" w:rsidR="005F1AF5" w:rsidRPr="00BC1F49" w:rsidRDefault="005F1AF5">
      <w:pPr>
        <w:pStyle w:val="BodyText"/>
        <w:spacing w:after="0" w:line="288" w:lineRule="auto"/>
        <w:jc w:val="both"/>
        <w:rPr>
          <w:b/>
          <w:bCs/>
        </w:rPr>
      </w:pPr>
      <m:oMathPara>
        <m:oMath>
          <m:sSub>
            <m:sSubPr>
              <m:ctrlPr>
                <w:rPr>
                  <w:rFonts w:ascii="Cambria Math" w:hAnsi="Cambria Math"/>
                  <w:i/>
                </w:rPr>
              </m:ctrlPr>
            </m:sSubPr>
            <m:e>
              <m:r>
                <w:rPr>
                  <w:rFonts w:ascii="Cambria Math" w:hAnsi="Cambria Math"/>
                </w:rPr>
                <m:t>x*</m:t>
              </m:r>
              <m:r>
                <w:rPr>
                  <w:rFonts w:ascii="Cambria Math" w:hAnsi="Cambria Math"/>
                </w:rPr>
                <m:t>g</m:t>
              </m:r>
            </m:e>
            <m:sub>
              <m:r>
                <w:rPr>
                  <w:rFonts w:ascii="Cambria Math" w:hAnsi="Cambria Math"/>
                </w:rPr>
                <m:t>θ</m:t>
              </m:r>
            </m:sub>
          </m:sSub>
          <m:r>
            <w:rPr>
              <w:rFonts w:ascii="Cambria Math" w:hAnsi="Cambria Math"/>
            </w:rPr>
            <m:t>=</m:t>
          </m:r>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r>
            <m:rPr>
              <m:sty m:val="p"/>
            </m:rPr>
            <w:rPr>
              <w:rFonts w:ascii="Cambria Math" w:hAnsi="Cambria Math"/>
            </w:rPr>
            <m:t>Λ</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r>
            <m:rPr>
              <m:sty m:val="p"/>
            </m:rPr>
            <w:rPr>
              <w:rFonts w:ascii="Cambria Math" w:hAnsi="Cambria Math"/>
            </w:rPr>
            <m:t>Θ</m:t>
          </m:r>
        </m:oMath>
      </m:oMathPara>
    </w:p>
    <w:p w14:paraId="0E335DAF" w14:textId="77777777" w:rsidR="007B4629" w:rsidRDefault="007B4629">
      <w:pPr>
        <w:pStyle w:val="BodyText"/>
      </w:pPr>
    </w:p>
    <w:p w14:paraId="639DCE06" w14:textId="4A1864B7" w:rsidR="007B4629" w:rsidRDefault="00000000">
      <w:pPr>
        <w:pStyle w:val="BodyText"/>
        <w:spacing w:after="0" w:line="288" w:lineRule="auto"/>
        <w:jc w:val="both"/>
        <w:rPr>
          <w:rFonts w:ascii="Times New Roman" w:hAnsi="Times New Roman"/>
          <w:color w:val="000000"/>
        </w:rPr>
      </w:pPr>
      <w:r>
        <w:rPr>
          <w:rFonts w:ascii="Times New Roman" w:hAnsi="Times New Roman"/>
          <w:color w:val="000000"/>
        </w:rPr>
        <w:t xml:space="preserve">where </w:t>
      </w:r>
      <m:oMath>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r>
          <m:rPr>
            <m:sty m:val="p"/>
          </m:rPr>
          <w:rPr>
            <w:rFonts w:ascii="Cambria Math" w:hAnsi="Cambria Math"/>
          </w:rPr>
          <m:t>Λ</m:t>
        </m:r>
        <m:r>
          <m:rPr>
            <m:sty m:val="p"/>
          </m:rPr>
          <w:rPr>
            <w:rFonts w:ascii="Cambria Math" w:hAnsi="Cambria Math"/>
          </w:rPr>
          <m:t>)</m:t>
        </m:r>
      </m:oMath>
      <w:r>
        <w:rPr>
          <w:color w:val="000000"/>
        </w:rPr>
        <w:t xml:space="preserve"> </w:t>
      </w:r>
      <w:r>
        <w:rPr>
          <w:rFonts w:ascii="Times New Roman" w:hAnsi="Times New Roman"/>
          <w:color w:val="000000"/>
        </w:rPr>
        <w:t xml:space="preserve">represent the function of eigenvalues of graph Laplacian </w:t>
      </w:r>
      <m:oMath>
        <m:r>
          <w:rPr>
            <w:rFonts w:ascii="Cambria Math" w:hAnsi="Cambria Math"/>
          </w:rPr>
          <m:t>L</m:t>
        </m:r>
      </m:oMath>
      <w:r>
        <w:rPr>
          <w:rFonts w:ascii="Times New Roman" w:hAnsi="Times New Roman"/>
          <w:color w:val="000000"/>
        </w:rPr>
        <w:t xml:space="preserve">, </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color w:val="000000"/>
        </w:rPr>
        <w:t xml:space="preserve"> </w:t>
      </w:r>
      <w:r>
        <w:rPr>
          <w:rFonts w:ascii="Times New Roman" w:hAnsi="Times New Roman"/>
          <w:color w:val="000000"/>
        </w:rPr>
        <w:t xml:space="preserve">represent the graph </w:t>
      </w:r>
      <w:r w:rsidR="00DE0099">
        <w:rPr>
          <w:rFonts w:ascii="Times New Roman" w:hAnsi="Times New Roman"/>
          <w:color w:val="000000"/>
        </w:rPr>
        <w:t>Fourier</w:t>
      </w:r>
      <w:r>
        <w:rPr>
          <w:rFonts w:ascii="Times New Roman" w:hAnsi="Times New Roman"/>
          <w:color w:val="000000"/>
        </w:rPr>
        <w:t xml:space="preserve"> transform of signal </w:t>
      </w:r>
      <m:oMath>
        <m:r>
          <w:rPr>
            <w:rFonts w:ascii="Cambria Math" w:hAnsi="Cambria Math"/>
          </w:rPr>
          <m:t>x</m:t>
        </m:r>
      </m:oMath>
      <w:r>
        <w:rPr>
          <w:rFonts w:ascii="Times New Roman" w:hAnsi="Times New Roman"/>
          <w:color w:val="000000"/>
        </w:rPr>
        <w:t xml:space="preserve"> [42]. The computational complexity of the above convolution model is relatively high, which is </w:t>
      </w:r>
      <m:oMath>
        <m:r>
          <w:rPr>
            <w:rFonts w:ascii="Cambria Math" w:hAnsi="Cambria Math"/>
            <w:color w:val="000000"/>
          </w:rPr>
          <m:t>O(</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2</m:t>
            </m:r>
          </m:sup>
        </m:sSup>
        <m:r>
          <w:rPr>
            <w:rFonts w:ascii="Cambria Math" w:hAnsi="Cambria Math"/>
            <w:color w:val="000000"/>
          </w:rPr>
          <m:t>)</m:t>
        </m:r>
      </m:oMath>
      <w:r>
        <w:rPr>
          <w:rFonts w:ascii="Times New Roman" w:hAnsi="Times New Roman"/>
          <w:color w:val="000000"/>
        </w:rPr>
        <w:t>. In order to reduce the computational complexity of this model, the graph signal convolution can be computed by approximating  Chebyshev polynomials and using renormalization trick mentioned in [42] as</w:t>
      </w:r>
    </w:p>
    <w:p w14:paraId="68C77317" w14:textId="6A0198CA" w:rsidR="007B4629" w:rsidRPr="00BC1F49" w:rsidRDefault="00BC1F49" w:rsidP="00BC1F49">
      <w:pPr>
        <w:pStyle w:val="BodyText"/>
        <w:spacing w:after="0" w:line="288" w:lineRule="auto"/>
        <w:jc w:val="both"/>
      </w:pPr>
      <m:oMathPara>
        <m:oMath>
          <m:r>
            <w:rPr>
              <w:rFonts w:ascii="Cambria Math" w:hAnsi="Cambria Math"/>
            </w:rPr>
            <m:t xml:space="preserve">Z= </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 xml:space="preserve"> A</m:t>
              </m:r>
            </m:e>
          </m:acc>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X </m:t>
          </m:r>
          <m:r>
            <m:rPr>
              <m:sty m:val="p"/>
            </m:rPr>
            <w:rPr>
              <w:rFonts w:ascii="Cambria Math" w:hAnsi="Cambria Math"/>
            </w:rPr>
            <m:t>Θ</m:t>
          </m:r>
        </m:oMath>
      </m:oMathPara>
    </w:p>
    <w:p w14:paraId="0CE3EE59" w14:textId="77777777" w:rsidR="00BC1F49" w:rsidRDefault="00BC1F49" w:rsidP="00BC1F49">
      <w:pPr>
        <w:pStyle w:val="BodyText"/>
        <w:spacing w:after="0" w:line="288" w:lineRule="auto"/>
        <w:jc w:val="both"/>
      </w:pPr>
    </w:p>
    <w:p w14:paraId="469732BD" w14:textId="1F3B77DE" w:rsidR="007B4629" w:rsidRDefault="00000000">
      <w:pPr>
        <w:pStyle w:val="BodyText"/>
        <w:spacing w:after="0" w:line="288" w:lineRule="auto"/>
        <w:jc w:val="both"/>
        <w:rPr>
          <w:rFonts w:ascii="Times New Roman" w:hAnsi="Times New Roman"/>
          <w:color w:val="000000"/>
        </w:rPr>
      </w:pPr>
      <w:r>
        <w:rPr>
          <w:rFonts w:ascii="Times New Roman" w:hAnsi="Times New Roman"/>
          <w:color w:val="000000"/>
        </w:rPr>
        <w:lastRenderedPageBreak/>
        <w:t>With the simplified model as mentioned above, the simplified spectral GCN model as mentioned in [42] is</w:t>
      </w:r>
    </w:p>
    <w:p w14:paraId="47724794" w14:textId="11A71820" w:rsidR="00BC1F49" w:rsidRDefault="00BC1F49">
      <w:pPr>
        <w:pStyle w:val="BodyText"/>
        <w:spacing w:after="0" w:line="288" w:lineRule="auto"/>
        <w:jc w:val="both"/>
      </w:pPr>
      <m:oMathPara>
        <m:oMath>
          <m:r>
            <w:rPr>
              <w:rFonts w:ascii="Cambria Math" w:hAnsi="Cambria Math"/>
            </w:rPr>
            <m:t>H=</m:t>
          </m:r>
          <m:sSub>
            <m:sSubPr>
              <m:ctrlPr>
                <w:rPr>
                  <w:rFonts w:ascii="Cambria Math" w:hAnsi="Cambria Math"/>
                  <w:i/>
                </w:rPr>
              </m:ctrlPr>
            </m:sSubPr>
            <m:e>
              <m:r>
                <w:rPr>
                  <w:rFonts w:ascii="Cambria Math" w:hAnsi="Cambria Math"/>
                </w:rPr>
                <m:t>x*</m:t>
              </m:r>
              <m:r>
                <w:rPr>
                  <w:rFonts w:ascii="Cambria Math" w:hAnsi="Cambria Math"/>
                </w:rPr>
                <m:t>g</m:t>
              </m:r>
            </m:e>
            <m:sub>
              <m:r>
                <w:rPr>
                  <w:rFonts w:ascii="Cambria Math" w:hAnsi="Cambria Math"/>
                </w:rPr>
                <m:t>θ</m:t>
              </m:r>
            </m:sub>
          </m:sSub>
          <m:r>
            <w:rPr>
              <w:rFonts w:ascii="Cambria Math" w:hAnsi="Cambria Math"/>
            </w:rPr>
            <m:t>=f(</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 xml:space="preserve"> A</m:t>
              </m:r>
            </m:e>
          </m:acc>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X </m:t>
          </m:r>
          <m:r>
            <m:rPr>
              <m:sty m:val="p"/>
            </m:rPr>
            <w:rPr>
              <w:rFonts w:ascii="Cambria Math" w:hAnsi="Cambria Math"/>
            </w:rPr>
            <m:t>Θ</m:t>
          </m:r>
          <m:r>
            <m:rPr>
              <m:sty m:val="p"/>
            </m:rPr>
            <w:rPr>
              <w:rFonts w:ascii="Cambria Math" w:hAnsi="Cambria Math"/>
            </w:rPr>
            <m:t>)</m:t>
          </m:r>
        </m:oMath>
      </m:oMathPara>
    </w:p>
    <w:p w14:paraId="71B8AD19" w14:textId="401C9818" w:rsidR="007B4629" w:rsidRDefault="007B4629" w:rsidP="000D2144">
      <w:pPr>
        <w:pStyle w:val="BodyText"/>
        <w:spacing w:after="0" w:line="288" w:lineRule="auto"/>
      </w:pPr>
    </w:p>
    <w:p w14:paraId="54D590F1" w14:textId="77777777" w:rsidR="007B4629" w:rsidRDefault="007B4629">
      <w:pPr>
        <w:pStyle w:val="BodyText"/>
      </w:pPr>
    </w:p>
    <w:p w14:paraId="202646F1" w14:textId="77777777" w:rsidR="007B4629" w:rsidRDefault="00000000">
      <w:pPr>
        <w:pStyle w:val="BodyText"/>
        <w:spacing w:after="0" w:line="288" w:lineRule="auto"/>
        <w:jc w:val="both"/>
      </w:pPr>
      <w:r>
        <w:rPr>
          <w:rFonts w:ascii="Times New Roman" w:hAnsi="Times New Roman"/>
          <w:color w:val="000000"/>
        </w:rPr>
        <w:t xml:space="preserve">We have used a two layer spectral GCN model in the proposed BDL-SP architecture. </w:t>
      </w:r>
    </w:p>
    <w:p w14:paraId="777C59C6" w14:textId="77777777" w:rsidR="007B4629" w:rsidRDefault="00000000">
      <w:pPr>
        <w:pStyle w:val="BodyText"/>
      </w:pPr>
      <w:r>
        <w:br/>
      </w:r>
    </w:p>
    <w:sectPr w:rsidR="007B4629">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B4629"/>
    <w:rsid w:val="000D2144"/>
    <w:rsid w:val="005F1AF5"/>
    <w:rsid w:val="0067562D"/>
    <w:rsid w:val="006F315A"/>
    <w:rsid w:val="007B4629"/>
    <w:rsid w:val="008224DD"/>
    <w:rsid w:val="009A6096"/>
    <w:rsid w:val="00A70327"/>
    <w:rsid w:val="00BC1F49"/>
    <w:rsid w:val="00DE0099"/>
    <w:rsid w:val="00EA2DCE"/>
    <w:rsid w:val="00EA66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AAAFEA4"/>
  <w15:docId w15:val="{6F42B571-A6D8-7241-B43F-DFD1BF86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character" w:styleId="PlaceholderText">
    <w:name w:val="Placeholder Text"/>
    <w:basedOn w:val="DefaultParagraphFont"/>
    <w:uiPriority w:val="99"/>
    <w:semiHidden/>
    <w:rsid w:val="005F1A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32</cp:revision>
  <dcterms:created xsi:type="dcterms:W3CDTF">2022-07-15T19:14:00Z</dcterms:created>
  <dcterms:modified xsi:type="dcterms:W3CDTF">2022-08-19T06:05:00Z</dcterms:modified>
  <dc:language>en-IN</dc:language>
</cp:coreProperties>
</file>