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Cambria" w:hAnsi="Cambria"/>
          <w:b/>
          <w:i w:val="0"/>
          <w:color w:val="000000"/>
          <w:sz w:val="40"/>
        </w:rPr>
        <w:t>RAKSHASAFE WOMEN'S SAFETY SYSTEM</w:t>
      </w:r>
    </w:p>
    <w:p>
      <w:pPr>
        <w:spacing w:after="320"/>
        <w:jc w:val="center"/>
      </w:pPr>
      <w:r>
        <w:rPr>
          <w:rFonts w:ascii="Cambria" w:hAnsi="Cambria"/>
          <w:b w:val="0"/>
          <w:i w:val="0"/>
          <w:color w:val="333333"/>
          <w:sz w:val="26"/>
        </w:rPr>
        <w:t>Design Diagrams - ER Model and Data Flow Diagrams (Levels 0, 1, 2)</w:t>
      </w:r>
    </w:p>
    <w:p>
      <w:pPr>
        <w:spacing w:after="80"/>
        <w:jc w:val="center"/>
      </w:pPr>
      <w:r>
        <w:rPr>
          <w:rFonts w:ascii="Cambria" w:hAnsi="Cambria"/>
          <w:b w:val="0"/>
          <w:i w:val="0"/>
          <w:color w:val="333333"/>
          <w:sz w:val="20"/>
        </w:rPr>
        <w:t>Black-and-white StarUML-style diagrams</w:t>
      </w:r>
    </w:p>
    <w:p>
      <w:pPr>
        <w:spacing w:after="80"/>
        <w:jc w:val="center"/>
      </w:pPr>
      <w:r>
        <w:rPr>
          <w:rFonts w:ascii="Cambria" w:hAnsi="Cambria"/>
          <w:b w:val="0"/>
          <w:i w:val="0"/>
          <w:color w:val="333333"/>
          <w:sz w:val="20"/>
        </w:rPr>
        <w:t>Rendered from PlantUML sources (PlantUML public server + local rendering)</w:t>
      </w:r>
    </w:p>
    <w:p>
      <w:pPr>
        <w:spacing w:after="80"/>
        <w:jc w:val="center"/>
      </w:pPr>
      <w:r>
        <w:rPr>
          <w:rFonts w:ascii="Cambria" w:hAnsi="Cambria"/>
          <w:b w:val="0"/>
          <w:i w:val="0"/>
          <w:color w:val="333333"/>
          <w:sz w:val="20"/>
        </w:rPr>
        <w:t>Diagrams are embedded at native resolution for print / submission</w:t>
      </w:r>
    </w:p>
    <w:p>
      <w:pPr>
        <w:spacing w:after="80"/>
        <w:pBdr>
          <w:bottom w:val="single" w:sz="12" w:color="000000"/>
        </w:pBdr>
      </w:pPr>
    </w:p>
    <w:p>
      <w:pPr>
        <w:pStyle w:val="Heading2"/>
        <w:spacing w:before="200" w:after="80"/>
      </w:pPr>
      <w:r>
        <w:rPr>
          <w:rFonts w:ascii="Cambria" w:hAnsi="Cambria"/>
          <w:b/>
          <w:i w:val="0"/>
          <w:color w:val="000000"/>
          <w:sz w:val="27"/>
        </w:rPr>
        <w:t>Contents</w:t>
      </w:r>
    </w:p>
    <w:p>
      <w:pPr>
        <w:spacing w:after="120" w:before="0" w:line="276" w:lineRule="auto"/>
      </w:pPr>
      <w:r>
        <w:rPr>
          <w:rFonts w:ascii="Cambria" w:hAnsi="Cambria"/>
          <w:b w:val="0"/>
          <w:i w:val="0"/>
          <w:color w:val="000000"/>
          <w:sz w:val="21"/>
        </w:rPr>
        <w:t>This document bundles the complete set of black-and-white design diagrams for RakshaSafe: one entity-relationship (ER) diagram and a three-level data-flow decomposition (context / major processes / detailed processes). Every diagram is derived from the implemented backend data model and the live API behaviours verified during testing (Chapter 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7"/>
            <w:shd w:val="clear" w:color="auto" w:fill="D9D9D9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6009"/>
            <w:shd w:val="clear" w:color="auto" w:fill="D9D9D9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000000"/>
                <w:sz w:val="20"/>
              </w:rPr>
              <w:t>Diagram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000000"/>
                <w:sz w:val="20"/>
              </w:rPr>
              <w:t>Filename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ER Diagram - Entity Relationship Model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er.puml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DFD Level 0 - Context Diagram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dfd-level0.puml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DFD Level 1 - Major Processes (1.0 to 10.0)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dfd-level1.puml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DFD Level 2 - Incident Management detail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dfd-level2-incident.puml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DFD Level 2 - Admin Dashboard &amp; Reports detail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dfd-level2-admin.puml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DFD Level 2 - Notifications &amp; AI Risk detail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dfd-level2-notifications.puml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Cambria" w:hAnsi="Cambria"/>
          <w:b/>
          <w:i w:val="0"/>
          <w:color w:val="000000"/>
          <w:sz w:val="27"/>
        </w:rPr>
        <w:t>Notation Legend (StarUML / Yourdon-DeMarco style)</w:t>
      </w:r>
    </w:p>
    <w:p>
      <w:pPr>
        <w:spacing w:after="120" w:before="0" w:line="276" w:lineRule="auto"/>
      </w:pPr>
      <w:r>
        <w:rPr>
          <w:rFonts w:ascii="Cambria" w:hAnsi="Cambria"/>
          <w:b w:val="0"/>
          <w:i w:val="0"/>
          <w:color w:val="000000"/>
          <w:sz w:val="21"/>
        </w:rPr>
        <w:t>All diagrams use a strict black-and-white notation so they reproduce cleanly in print and comply with examination formatting: separate entities as rectangles (ER), processes as circles (DFD), external actors as squares, and data stores as the classic open-ended symbol. Arrows show the direction of data movement; numbered processes (for example “2.1 Create Incident”) allow each lower level to decompose one higher-level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D9D9D9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000000"/>
                <w:sz w:val="20"/>
              </w:rPr>
              <w:t>Symbol</w:t>
            </w:r>
          </w:p>
        </w:tc>
        <w:tc>
          <w:tcPr>
            <w:tcW w:type="dxa" w:w="4422"/>
            <w:shd w:val="clear" w:color="auto" w:fill="D9D9D9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000000"/>
                <w:sz w:val="20"/>
              </w:rPr>
              <w:t>Meaning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Named rectangle with fields (ER)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Entity / table with attributes; PK and FK marked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Circle with number and name (DFD)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Process (17 classic list); e.g. 2.2 Validate &amp; Enrich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Square / hollow rectangle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External entity - person or external system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Open-ended storage box (D*)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Data store - e.g. D2 INCIDENT (MongoDB collection)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Directed arrow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Data flow; label states what data moves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Dashed arrow</w:t>
            </w:r>
          </w:p>
        </w:tc>
        <w:tc>
          <w:tcPr>
            <w:tcW w:type="dxa" w:w="4422"/>
          </w:tcPr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Control / audit trigger, not a data flow</w:t>
            </w:r>
          </w:p>
        </w:tc>
      </w:tr>
    </w:tbl>
    <w:p>
      <w:pPr>
        <w:spacing w:after="80"/>
      </w:pPr>
    </w:p>
    <w:p>
      <w:pPr>
        <w:spacing w:after="0"/>
      </w:pPr>
      <w:r>
        <w:br w:type="page"/>
      </w:r>
    </w:p>
    <w:p>
      <w:pPr>
        <w:pStyle w:val="Heading2"/>
        <w:spacing w:before="200" w:after="80"/>
      </w:pPr>
      <w:r>
        <w:rPr>
          <w:rFonts w:ascii="Cambria" w:hAnsi="Cambria"/>
          <w:b/>
          <w:i w:val="0"/>
          <w:color w:val="000000"/>
          <w:sz w:val="27"/>
        </w:rPr>
        <w:t>Diagram 1 - ER Diagram - Entity Relationship Model</w:t>
      </w:r>
    </w:p>
    <w:p>
      <w:pPr>
        <w:spacing w:after="120" w:before="0" w:line="276" w:lineRule="auto"/>
      </w:pPr>
      <w:r>
        <w:rPr>
          <w:rFonts w:ascii="Cambria" w:hAnsi="Cambria"/>
          <w:b w:val="0"/>
          <w:i w:val="0"/>
          <w:color w:val="333333"/>
          <w:sz w:val="21"/>
        </w:rPr>
        <w:t>The model centres on USER (identity, role, language, isActive) and INCIDENT. INCIDENT carries single-owner semantics (one user creates many incidents) and keeps a full history through INCIDENT_UPDATE. RESCUE_TEAM links to users through TEAM_MEMBERSHIP and to incidents through ASSIGNMENT, whose status workflow is enforced by the assignment validator. NOTIFICATION records both in-app events (DELIVERED) and external channel outcomes, including NOT_CONFIGURED when no provider is set. ADMIN_LOG and REPORT records keep administrative actions accountable.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37206" cy="66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206" cy="6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mbria" w:hAnsi="Cambria"/>
          <w:b w:val="0"/>
          <w:i/>
          <w:color w:val="333333"/>
          <w:sz w:val="19"/>
        </w:rPr>
        <w:t>Figure 1: RakshaSafe ER model - eleven entities, user-centric core, incident workflow and assignment chains, notifications, unsafe reports, facilities and audit logging.</w:t>
      </w:r>
    </w:p>
    <w:p>
      <w:pPr>
        <w:spacing w:after="80"/>
        <w:pBdr>
          <w:bottom w:val="single" w:sz="12" w:color="000000"/>
        </w:pBdr>
      </w:pPr>
    </w:p>
    <w:p>
      <w:pPr>
        <w:spacing w:after="0"/>
      </w:pPr>
      <w:r>
        <w:br w:type="page"/>
      </w:r>
    </w:p>
    <w:p>
      <w:pPr>
        <w:pStyle w:val="Heading2"/>
        <w:spacing w:before="200" w:after="80"/>
      </w:pPr>
      <w:r>
        <w:rPr>
          <w:rFonts w:ascii="Cambria" w:hAnsi="Cambria"/>
          <w:b/>
          <w:i w:val="0"/>
          <w:color w:val="000000"/>
          <w:sz w:val="27"/>
        </w:rPr>
        <w:t>Diagram 2 - DFD Level 0 - Context Diagram</w:t>
      </w:r>
    </w:p>
    <w:p>
      <w:pPr>
        <w:spacing w:after="120" w:before="0" w:line="276" w:lineRule="auto"/>
      </w:pPr>
      <w:r>
        <w:rPr>
          <w:rFonts w:ascii="Cambria" w:hAnsi="Cambria"/>
          <w:b w:val="0"/>
          <w:i w:val="0"/>
          <w:color w:val="333333"/>
          <w:sz w:val="21"/>
        </w:rPr>
        <w:t>The context diagram shows RakshaSafe as one black box. Citizen/User, Emergency Responder and Administrator are the human actors; SMS Gateway and Email Provider are the external communication systems; AI Risk Service is the decision-support provider. All data ultimately persists to the MongoDB store (D0).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50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50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mbria" w:hAnsi="Cambria"/>
          <w:b w:val="0"/>
          <w:i/>
          <w:color w:val="333333"/>
          <w:sz w:val="19"/>
        </w:rPr>
        <w:t>Figure 2: The whole system as a single process with its four user/system actors and the AI risk service, SMS and email providers.</w:t>
      </w:r>
    </w:p>
    <w:p>
      <w:pPr>
        <w:spacing w:after="80"/>
        <w:pBdr>
          <w:bottom w:val="single" w:sz="12" w:color="000000"/>
        </w:pBdr>
      </w:pPr>
    </w:p>
    <w:p>
      <w:pPr>
        <w:spacing w:after="0"/>
      </w:pPr>
      <w:r>
        <w:br w:type="page"/>
      </w:r>
    </w:p>
    <w:p>
      <w:pPr>
        <w:pStyle w:val="Heading2"/>
        <w:spacing w:before="200" w:after="80"/>
      </w:pPr>
      <w:r>
        <w:rPr>
          <w:rFonts w:ascii="Cambria" w:hAnsi="Cambria"/>
          <w:b/>
          <w:i w:val="0"/>
          <w:color w:val="000000"/>
          <w:sz w:val="27"/>
        </w:rPr>
        <w:t>Diagram 3 - DFD Level 1 - Major Processes</w:t>
      </w:r>
    </w:p>
    <w:p>
      <w:pPr>
        <w:spacing w:after="120" w:before="0" w:line="276" w:lineRule="auto"/>
      </w:pPr>
      <w:r>
        <w:rPr>
          <w:rFonts w:ascii="Cambria" w:hAnsi="Cambria"/>
          <w:b w:val="0"/>
          <w:i w:val="0"/>
          <w:color w:val="333333"/>
          <w:sz w:val="21"/>
        </w:rPr>
        <w:t>Level 1 decomposes the system into ten processes. 1.0 and 2.0 serve the citizen journey; 4.0 serves the responder; 9.0 and 10.0 serve only the administrator. Process 6.0 (Notifications) is triggered by incident and assignment events and fans out to In-App (D7) plus SMS and email providers. Every administrative mutation writes to D10 ADMIN LOG, shown as dashed control flows.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68571" cy="66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8571" cy="6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mbria" w:hAnsi="Cambria"/>
          <w:b w:val="0"/>
          <w:i/>
          <w:color w:val="333333"/>
          <w:sz w:val="19"/>
        </w:rPr>
        <w:t>Figure 3: Ten major processes (1.0 to 10.0) and their data stores.</w:t>
      </w:r>
    </w:p>
    <w:p>
      <w:pPr>
        <w:spacing w:after="80"/>
        <w:pBdr>
          <w:bottom w:val="single" w:sz="12" w:color="000000"/>
        </w:pBdr>
      </w:pPr>
    </w:p>
    <w:p>
      <w:pPr>
        <w:spacing w:after="0"/>
      </w:pPr>
      <w:r>
        <w:br w:type="page"/>
      </w:r>
    </w:p>
    <w:p>
      <w:pPr>
        <w:pStyle w:val="Heading2"/>
        <w:spacing w:before="200" w:after="80"/>
      </w:pPr>
      <w:r>
        <w:rPr>
          <w:rFonts w:ascii="Cambria" w:hAnsi="Cambria"/>
          <w:b/>
          <w:i w:val="0"/>
          <w:color w:val="000000"/>
          <w:sz w:val="27"/>
        </w:rPr>
        <w:t>Diagram 4 - DFD Level 2 - Incident Management Detail</w:t>
      </w:r>
    </w:p>
    <w:p>
      <w:pPr>
        <w:spacing w:after="120" w:before="0" w:line="276" w:lineRule="auto"/>
      </w:pPr>
      <w:r>
        <w:rPr>
          <w:rFonts w:ascii="Cambria" w:hAnsi="Cambria"/>
          <w:b w:val="0"/>
          <w:i w:val="0"/>
          <w:color w:val="333333"/>
          <w:sz w:val="21"/>
        </w:rPr>
        <w:t>Process 2.0 is expanded into eight sub-processes. 2.2 enforces the business rules that were proven in the unit validators (phone normalisation, enum checks, coordinate ranges, and rejection of forged status/ownership/location fields). 2.6 calls the AI risk service with real incident factors and receives a 0-100 score plus a level. 2.8 links assignments and, with 2.6, re-evaluates risk after each transition.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076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2-incid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76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mbria" w:hAnsi="Cambria"/>
          <w:b w:val="0"/>
          <w:i/>
          <w:color w:val="333333"/>
          <w:sz w:val="19"/>
        </w:rPr>
        <w:t>Figure 4: Expansion of process 2.0 with create, validate, persist, workflow, visibility, risk, history and assignment sub-processes.</w:t>
      </w:r>
    </w:p>
    <w:p>
      <w:pPr>
        <w:spacing w:after="80"/>
        <w:pBdr>
          <w:bottom w:val="single" w:sz="12" w:color="000000"/>
        </w:pBdr>
      </w:pPr>
    </w:p>
    <w:p>
      <w:pPr>
        <w:spacing w:after="0"/>
      </w:pPr>
      <w:r>
        <w:br w:type="page"/>
      </w:r>
    </w:p>
    <w:p>
      <w:pPr>
        <w:pStyle w:val="Heading2"/>
        <w:spacing w:before="200" w:after="80"/>
      </w:pPr>
      <w:r>
        <w:rPr>
          <w:rFonts w:ascii="Cambria" w:hAnsi="Cambria"/>
          <w:b/>
          <w:i w:val="0"/>
          <w:color w:val="000000"/>
          <w:sz w:val="27"/>
        </w:rPr>
        <w:t>Diagram 5 - DFD Level 2 - Admin Dashboard &amp; Reports Detail</w:t>
      </w:r>
    </w:p>
    <w:p>
      <w:pPr>
        <w:spacing w:after="120" w:before="0" w:line="276" w:lineRule="auto"/>
      </w:pPr>
      <w:r>
        <w:rPr>
          <w:rFonts w:ascii="Cambria" w:hAnsi="Cambria"/>
          <w:b w:val="0"/>
          <w:i w:val="0"/>
          <w:color w:val="333333"/>
          <w:sz w:val="21"/>
        </w:rPr>
        <w:t>9.1 aggregates real counts across seven collections. 9.2-9.5 wrap the management end points and always write an ADMIN LOG entry. 9.6 snapshots seven data stores and stores the report metadata together with its snapshot in D9; 9.7 exports it as CSV/PDF/JSON. 9.8 is the read-side of the audit trail.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00994" cy="66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2-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994" cy="6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mbria" w:hAnsi="Cambria"/>
          <w:b w:val="0"/>
          <w:i/>
          <w:color w:val="333333"/>
          <w:sz w:val="19"/>
        </w:rPr>
        <w:t>Figure 5: Expansion of processes 9.0 and 10.0 (dashboard, management, report generation, export and audit log).</w:t>
      </w:r>
    </w:p>
    <w:p>
      <w:pPr>
        <w:spacing w:after="80"/>
        <w:pBdr>
          <w:bottom w:val="single" w:sz="12" w:color="000000"/>
        </w:pBdr>
      </w:pPr>
    </w:p>
    <w:p>
      <w:pPr>
        <w:spacing w:after="0"/>
      </w:pPr>
      <w:r>
        <w:br w:type="page"/>
      </w:r>
    </w:p>
    <w:p>
      <w:pPr>
        <w:pStyle w:val="Heading2"/>
        <w:spacing w:before="200" w:after="80"/>
      </w:pPr>
      <w:r>
        <w:rPr>
          <w:rFonts w:ascii="Cambria" w:hAnsi="Cambria"/>
          <w:b/>
          <w:i w:val="0"/>
          <w:color w:val="000000"/>
          <w:sz w:val="27"/>
        </w:rPr>
        <w:t>Diagram 6 - DFD Level 2 - Notifications &amp; AI Risk Detail</w:t>
      </w:r>
    </w:p>
    <w:p>
      <w:pPr>
        <w:spacing w:after="120" w:before="0" w:line="276" w:lineRule="auto"/>
      </w:pPr>
      <w:r>
        <w:rPr>
          <w:rFonts w:ascii="Cambria" w:hAnsi="Cambria"/>
          <w:b w:val="0"/>
          <w:i w:val="0"/>
          <w:color w:val="333333"/>
          <w:sz w:val="21"/>
        </w:rPr>
        <w:t>6.1 materialises a notification record from the incident event plus primary-contact and recipient lookups; 6.2 dispatches to SMS/email only when a provider is configured and 6.3 records the provider response (SENT/DELIVERED/FAILED/NOT_CONFIGURED). On the risk side, 7.1 collects the live factor vector - incident location/type, nearby verified reports, nearby operational facilities and the active-incident count - 7.2 calls /risk/assess, and 7.3 persists the score and raises CRITICAL/HIGH alerts back into the notification path.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7568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2-notific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5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mbria" w:hAnsi="Cambria"/>
          <w:b w:val="0"/>
          <w:i/>
          <w:color w:val="333333"/>
          <w:sz w:val="19"/>
        </w:rPr>
        <w:t>Figure 6: Expansion of processes 6.0 and 7.0 (notification dispatch/status and AI risk factor collection/scoring).</w:t>
      </w:r>
    </w:p>
    <w:p>
      <w:pPr>
        <w:spacing w:after="80"/>
        <w:pBdr>
          <w:bottom w:val="single" w:sz="12" w:color="000000"/>
        </w:pBdr>
      </w:pPr>
    </w:p>
    <w:p>
      <w:pPr>
        <w:pStyle w:val="Heading2"/>
        <w:spacing w:before="200" w:after="80"/>
      </w:pPr>
      <w:r>
        <w:rPr>
          <w:rFonts w:ascii="Cambria" w:hAnsi="Cambria"/>
          <w:b/>
          <w:i w:val="0"/>
          <w:color w:val="000000"/>
          <w:sz w:val="27"/>
        </w:rPr>
        <w:t>Source Files and Reproduction</w:t>
      </w:r>
    </w:p>
    <w:p>
      <w:pPr>
        <w:spacing w:after="120" w:before="0" w:line="276" w:lineRule="auto"/>
      </w:pPr>
      <w:r>
        <w:rPr>
          <w:rFonts w:ascii="Cambria" w:hAnsi="Cambria"/>
          <w:b w:val="0"/>
          <w:i w:val="0"/>
          <w:color w:val="000000"/>
          <w:sz w:val="21"/>
        </w:rPr>
        <w:t>All diagrams were generated from PlantUML sources maintained under documentation/chapter6_diagrams_bw/*.puml. They can be re-rendered by pasting a source into the PlantUML server, or inside draw.io (Arrange &gt; Insert &gt; Advanced &gt; PlantUML). The matching SVG and PNG files are kept in the same folder as build artefacts. Because the sources live in the repository, every diagram is version-controlled and reproducible by the examiner.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