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8"/>
          <w:szCs w:val="28"/>
        </w:rPr>
        <w:t xml:space="preserve">ABSTRACT</w:t>
      </w:r>
    </w:p>
    <w:p>
      <w:pPr>
        <w:spacing w:after="60"/>
        <w:jc w:val="center"/>
      </w:pPr>
      <w:r>
        <w:rPr>
          <w:rFonts w:ascii="Arial" w:cs="Arial" w:eastAsia="Arial" w:hAnsi="Arial"/>
          <w:b/>
          <w:bCs/>
          <w:color w:val="2E7D32"/>
          <w:sz w:val="26"/>
          <w:szCs w:val="26"/>
        </w:rPr>
        <w:t xml:space="preserve">Greenwashing Risk Analysis Agent</w:t>
      </w:r>
    </w:p>
    <w:p>
      <w:pPr>
        <w:pBdr>
          <w:bottom w:val="single" w:color="2E7D32" w:sz="6" w:space="1"/>
        </w:pBdr>
        <w:spacing w:after="280"/>
      </w:pPr>
      <w:r>
        <w:t xml:space="preserve"/>
      </w:r>
    </w:p>
    <w:p>
      <w:pPr>
        <w:spacing w:after="220" w:line="360"/>
        <w:jc w:val="both"/>
      </w:pPr>
      <w:r>
        <w:rPr>
          <w:rFonts w:ascii="Times New Roman" w:cs="Times New Roman" w:eastAsia="Times New Roman" w:hAnsi="Times New Roman"/>
          <w:sz w:val="24"/>
          <w:szCs w:val="24"/>
        </w:rPr>
        <w:t xml:space="preserve">As sustainability reporting becomes a corporate standard, the risk of greenwashing — publishing vague, exaggerated, or unsubstantiated environmental claims — has grown significantly. Manual auditing of ESG reports is slow, inconsistent, and not scalable, making it difficult for investors, regulators, and the public to assess the true credibility of sustainability disclosures.</w:t>
      </w:r>
    </w:p>
    <w:p>
      <w:pPr>
        <w:spacing w:after="220" w:line="360"/>
        <w:jc w:val="both"/>
      </w:pPr>
      <w:r>
        <w:rPr>
          <w:rFonts w:ascii="Times New Roman" w:cs="Times New Roman" w:eastAsia="Times New Roman" w:hAnsi="Times New Roman"/>
          <w:sz w:val="24"/>
          <w:szCs w:val="24"/>
        </w:rPr>
        <w:t xml:space="preserve">To address this, we are developing the Greenwashing Risk Analysis Agent — an AI-powered tool that automatically ingests ESG report text and audits it through a pipeline of seven specialized agents. The system extracts sustainability claims, checks each for verifiability and supporting evidence, detects contradictions within the report, and computes a credibility-based risk score. Every finding is accompanied by explainable reasoning, making the results transparent and actionable.</w:t>
      </w:r>
    </w:p>
    <w:p>
      <w:pPr>
        <w:spacing w:after="320" w:line="360"/>
        <w:jc w:val="both"/>
      </w:pPr>
      <w:r>
        <w:rPr>
          <w:rFonts w:ascii="Times New Roman" w:cs="Times New Roman" w:eastAsia="Times New Roman" w:hAnsi="Times New Roman"/>
          <w:sz w:val="24"/>
          <w:szCs w:val="24"/>
        </w:rPr>
        <w:t xml:space="preserve">The project delivers an ESG audit interface that presents a risk scoring output along with highlighted risky statements, giving users a clear view of which claims are potentially misleading. Built within a 24-hour scope using sample reports and a static knowledge base, the system demonstrates that AI-driven ESG auditing can significantly reduce the effort required to identify greenwashing and support more informed sustainability accountability.</w:t>
      </w:r>
    </w:p>
    <w:p>
      <w:pPr>
        <w:pBdr>
          <w:top w:val="single" w:color="CCCCCC" w:sz="4" w:space="1"/>
        </w:pBdr>
        <w:spacing w:before="160" w:after="100"/>
      </w:pPr>
      <w:r>
        <w:rPr>
          <w:rFonts w:ascii="Arial" w:cs="Arial" w:eastAsia="Arial" w:hAnsi="Arial"/>
          <w:b/>
          <w:bCs/>
          <w:sz w:val="22"/>
          <w:szCs w:val="22"/>
        </w:rPr>
        <w:t xml:space="preserve">Keywords: </w:t>
      </w:r>
      <w:r>
        <w:rPr>
          <w:rFonts w:ascii="Arial" w:cs="Arial" w:eastAsia="Arial" w:hAnsi="Arial"/>
          <w:i/>
          <w:iCs/>
          <w:color w:val="444444"/>
          <w:sz w:val="22"/>
          <w:szCs w:val="22"/>
        </w:rPr>
        <w:t xml:space="preserve">Greenwashing Detection, ESG Analysis, Multi-Agent AI, Claim Verification, Risk Scoring, NLP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2026-03-14T15:20:19.841Z</dcterms:created>
  <dcterms:modified xsi:type="dcterms:W3CDTF">2026-03-14T15:20:19.842Z</dcterms:modified>
</cp:coreProperties>
</file>

<file path=docProps/custom.xml><?xml version="1.0" encoding="utf-8"?>
<Properties xmlns="http://schemas.openxmlformats.org/officeDocument/2006/custom-properties" xmlns:vt="http://schemas.openxmlformats.org/officeDocument/2006/docPropsVTypes"/>
</file>