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Architecture for Workforce Crisis Simulation</w:t>
      </w:r>
    </w:p>
    <w:p>
      <w:r>
        <w:t>High level design reference | Version 1.0 | 17 September 2026</w:t>
      </w:r>
    </w:p>
    <w:p>
      <w:r>
        <w:t>Use Workday Prism Analytics as the governed data preparation and reporting layer for the Workforce Crisis Planner. A controlled integration connects authorized data to an external AI agent and calculation engine. Customers review assumptions and approve plans through the structured workbook or a future application workflow.</w:t>
      </w:r>
    </w:p>
    <w:p>
      <w:r>
        <w:t>This proposed architecture is intended for implementers downloading the skill. It requires tenant capability checks, source mapping and security validation before implementation. The companion Excel workbook contains the logical dataset catalogue, sheet mappings, run contract, controls and delivery checklist.</w:t>
      </w:r>
    </w:p>
    <w:p>
      <w:pPr>
        <w:pStyle w:val="Heading2"/>
      </w:pPr>
      <w:r>
        <w:t>Platform responsibilities</w:t>
      </w:r>
    </w:p>
    <w:tbl>
      <w:tblPr>
        <w:tblW w:type="auto" w:w="0"/>
        <w:tblLayout w:type="fixed"/>
        <w:tblLook w:firstColumn="1" w:firstRow="1" w:lastColumn="0" w:lastRow="0" w:noHBand="0" w:noVBand="1" w:val="04A0"/>
      </w:tblPr>
      <w:tblGrid>
        <w:gridCol w:w="2160"/>
        <w:gridCol w:w="7920"/>
      </w:tblGrid>
      <w:tr>
        <w:trPr>
          <w:tblHeader/>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18"/>
              </w:rPr>
              <w:t>Component</w:t>
            </w:r>
          </w:p>
        </w:tc>
        <w:tc>
          <w:tcPr>
            <w:tcW w:type="dxa" w:w="7920"/>
            <w:tcBorders>
              <w:top w:val="single" w:sz="4" w:color="D9D9D9"/>
              <w:left w:val="single" w:sz="4" w:color="D9D9D9"/>
              <w:bottom w:val="single" w:sz="4" w:color="D9D9D9"/>
              <w:right w:val="single" w:sz="4" w:color="D9D9D9"/>
            </w:tcBorders>
            <w:shd w:fill="DCE6F1"/>
          </w:tcPr>
          <w:p>
            <w:pPr>
              <w:spacing w:after="100" w:before="100"/>
            </w:pPr>
            <w:r>
              <w:rPr>
                <w:b/>
                <w:sz w:val="18"/>
              </w:rPr>
              <w:t>Responsibility</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Source inputs</w:t>
            </w:r>
          </w:p>
        </w:tc>
        <w:tc>
          <w:tcPr>
            <w:tcW w:type="dxa" w:w="7920"/>
            <w:tcBorders>
              <w:top w:val="single" w:sz="4" w:color="D9D9D9"/>
              <w:left w:val="single" w:sz="4" w:color="D9D9D9"/>
              <w:bottom w:val="single" w:sz="4" w:color="D9D9D9"/>
              <w:right w:val="single" w:sz="4" w:color="D9D9D9"/>
            </w:tcBorders>
            <w:shd w:fill="FFFFFF"/>
          </w:tcPr>
          <w:p>
            <w:pPr>
              <w:spacing w:after="100" w:before="100"/>
            </w:pPr>
            <w:r>
              <w:rPr>
                <w:b w:val="0"/>
                <w:sz w:val="18"/>
              </w:rPr>
              <w:t>Aggregated workforce and verified qualifications; separate business and finance inputs</w:t>
            </w:r>
          </w:p>
        </w:tc>
      </w:tr>
      <w:tr>
        <w:tc>
          <w:tcPr>
            <w:tcW w:type="dxa" w:w="2160"/>
            <w:tcBorders>
              <w:top w:val="single" w:sz="4" w:color="D9D9D9"/>
              <w:left w:val="single" w:sz="4" w:color="D9D9D9"/>
              <w:bottom w:val="single" w:sz="4" w:color="D9D9D9"/>
              <w:right w:val="single" w:sz="4" w:color="D9D9D9"/>
            </w:tcBorders>
            <w:shd w:fill="F4F6F8"/>
          </w:tcPr>
          <w:p>
            <w:pPr>
              <w:spacing w:after="100" w:before="100"/>
            </w:pPr>
            <w:r>
              <w:rPr>
                <w:b w:val="0"/>
                <w:sz w:val="18"/>
              </w:rPr>
              <w:t>Acquisition</w:t>
            </w:r>
          </w:p>
        </w:tc>
        <w:tc>
          <w:tcPr>
            <w:tcW w:type="dxa" w:w="7920"/>
            <w:tcBorders>
              <w:top w:val="single" w:sz="4" w:color="D9D9D9"/>
              <w:left w:val="single" w:sz="4" w:color="D9D9D9"/>
              <w:bottom w:val="single" w:sz="4" w:color="D9D9D9"/>
              <w:right w:val="single" w:sz="4" w:color="D9D9D9"/>
            </w:tcBorders>
            <w:shd w:fill="F4F6F8"/>
          </w:tcPr>
          <w:p>
            <w:pPr>
              <w:spacing w:after="100" w:before="100"/>
            </w:pPr>
            <w:r>
              <w:rPr>
                <w:b w:val="0"/>
                <w:sz w:val="18"/>
              </w:rPr>
              <w:t>Versioned source submissions and load metadata</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Preparation</w:t>
            </w:r>
          </w:p>
        </w:tc>
        <w:tc>
          <w:tcPr>
            <w:tcW w:type="dxa" w:w="7920"/>
            <w:tcBorders>
              <w:top w:val="single" w:sz="4" w:color="D9D9D9"/>
              <w:left w:val="single" w:sz="4" w:color="D9D9D9"/>
              <w:bottom w:val="single" w:sz="4" w:color="D9D9D9"/>
              <w:right w:val="single" w:sz="4" w:color="D9D9D9"/>
            </w:tcBorders>
            <w:shd w:fill="FFFFFF"/>
          </w:tcPr>
          <w:p>
            <w:pPr>
              <w:spacing w:after="100" w:before="100"/>
            </w:pPr>
            <w:r>
              <w:rPr>
                <w:b w:val="0"/>
                <w:sz w:val="18"/>
              </w:rPr>
              <w:t>Typed, mapped, reconciled data at explicit grain</w:t>
            </w:r>
          </w:p>
        </w:tc>
      </w:tr>
      <w:tr>
        <w:tc>
          <w:tcPr>
            <w:tcW w:type="dxa" w:w="2160"/>
            <w:tcBorders>
              <w:top w:val="single" w:sz="4" w:color="D9D9D9"/>
              <w:left w:val="single" w:sz="4" w:color="D9D9D9"/>
              <w:bottom w:val="single" w:sz="4" w:color="D9D9D9"/>
              <w:right w:val="single" w:sz="4" w:color="D9D9D9"/>
            </w:tcBorders>
            <w:shd w:fill="F4F6F8"/>
          </w:tcPr>
          <w:p>
            <w:pPr>
              <w:spacing w:after="100" w:before="100"/>
            </w:pPr>
            <w:r>
              <w:rPr>
                <w:b w:val="0"/>
                <w:sz w:val="18"/>
              </w:rPr>
              <w:t>Analysis access</w:t>
            </w:r>
          </w:p>
        </w:tc>
        <w:tc>
          <w:tcPr>
            <w:tcW w:type="dxa" w:w="7920"/>
            <w:tcBorders>
              <w:top w:val="single" w:sz="4" w:color="D9D9D9"/>
              <w:left w:val="single" w:sz="4" w:color="D9D9D9"/>
              <w:bottom w:val="single" w:sz="4" w:color="D9D9D9"/>
              <w:right w:val="single" w:sz="4" w:color="D9D9D9"/>
            </w:tcBorders>
            <w:shd w:fill="F4F6F8"/>
          </w:tcPr>
          <w:p>
            <w:pPr>
              <w:spacing w:after="100" w:before="100"/>
            </w:pPr>
            <w:r>
              <w:rPr>
                <w:b w:val="0"/>
                <w:sz w:val="18"/>
              </w:rPr>
              <w:t>Authorized baseline and scenario input views</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Simulation</w:t>
            </w:r>
          </w:p>
        </w:tc>
        <w:tc>
          <w:tcPr>
            <w:tcW w:type="dxa" w:w="7920"/>
            <w:tcBorders>
              <w:top w:val="single" w:sz="4" w:color="D9D9D9"/>
              <w:left w:val="single" w:sz="4" w:color="D9D9D9"/>
              <w:bottom w:val="single" w:sz="4" w:color="D9D9D9"/>
              <w:right w:val="single" w:sz="4" w:color="D9D9D9"/>
            </w:tcBorders>
            <w:shd w:fill="FFFFFF"/>
          </w:tcPr>
          <w:p>
            <w:pPr>
              <w:spacing w:after="100" w:before="100"/>
            </w:pPr>
            <w:r>
              <w:rPr>
                <w:b w:val="0"/>
                <w:sz w:val="18"/>
              </w:rPr>
              <w:t>AI scenarios and explanations; deterministic impact calculations</w:t>
            </w:r>
          </w:p>
        </w:tc>
      </w:tr>
      <w:tr>
        <w:tc>
          <w:tcPr>
            <w:tcW w:type="dxa" w:w="2160"/>
            <w:tcBorders>
              <w:top w:val="single" w:sz="4" w:color="D9D9D9"/>
              <w:left w:val="single" w:sz="4" w:color="D9D9D9"/>
              <w:bottom w:val="single" w:sz="4" w:color="D9D9D9"/>
              <w:right w:val="single" w:sz="4" w:color="D9D9D9"/>
            </w:tcBorders>
            <w:shd w:fill="F4F6F8"/>
          </w:tcPr>
          <w:p>
            <w:pPr>
              <w:spacing w:after="100" w:before="100"/>
            </w:pPr>
            <w:r>
              <w:rPr>
                <w:b w:val="0"/>
                <w:sz w:val="18"/>
              </w:rPr>
              <w:t>Human decisions</w:t>
            </w:r>
          </w:p>
        </w:tc>
        <w:tc>
          <w:tcPr>
            <w:tcW w:type="dxa" w:w="7920"/>
            <w:tcBorders>
              <w:top w:val="single" w:sz="4" w:color="D9D9D9"/>
              <w:left w:val="single" w:sz="4" w:color="D9D9D9"/>
              <w:bottom w:val="single" w:sz="4" w:color="D9D9D9"/>
              <w:right w:val="single" w:sz="4" w:color="D9D9D9"/>
            </w:tcBorders>
            <w:shd w:fill="F4F6F8"/>
          </w:tcPr>
          <w:p>
            <w:pPr>
              <w:spacing w:after="100" w:before="100"/>
            </w:pPr>
            <w:r>
              <w:rPr>
                <w:b w:val="0"/>
                <w:sz w:val="18"/>
              </w:rPr>
              <w:t>Scenario reviews, mitigation approvals and milestones</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Results</w:t>
            </w:r>
          </w:p>
        </w:tc>
        <w:tc>
          <w:tcPr>
            <w:tcW w:type="dxa" w:w="7920"/>
            <w:tcBorders>
              <w:top w:val="single" w:sz="4" w:color="D9D9D9"/>
              <w:left w:val="single" w:sz="4" w:color="D9D9D9"/>
              <w:bottom w:val="single" w:sz="4" w:color="D9D9D9"/>
              <w:right w:val="single" w:sz="4" w:color="D9D9D9"/>
            </w:tcBorders>
            <w:shd w:fill="FFFFFF"/>
          </w:tcPr>
          <w:p>
            <w:pPr>
              <w:spacing w:after="100" w:before="100"/>
            </w:pPr>
            <w:r>
              <w:rPr>
                <w:b w:val="0"/>
                <w:sz w:val="18"/>
              </w:rPr>
              <w:t>Run comparisons, gaps, plan status and quality exceptions</w:t>
            </w:r>
          </w:p>
        </w:tc>
      </w:tr>
    </w:tbl>
    <w:p>
      <w:pPr>
        <w:pStyle w:val="Heading2"/>
      </w:pPr>
      <w:r>
        <w:t>Scope</w:t>
      </w:r>
    </w:p>
    <w:p>
      <w:r>
        <w:t>The design supports AI-generated crisis proposals and customer-requested what-if scenarios, including site relocation. It uses aggregate populations and neutral codes by default. It does not deploy integrations, calculate a real company result or authorize business execution.</w:t>
      </w:r>
    </w:p>
    <w:p>
      <w:r>
        <w:br w:type="page"/>
      </w:r>
    </w:p>
    <w:p>
      <w:pPr>
        <w:pStyle w:val="Heading1"/>
      </w:pPr>
      <w:r>
        <w:t>Data acquisition and preparation</w:t>
      </w:r>
    </w:p>
    <w:p>
      <w:pPr>
        <w:pStyle w:val="Heading2"/>
      </w:pPr>
      <w:r>
        <w:t>Separate the input routes</w:t>
      </w:r>
    </w:p>
    <w:p>
      <w:r>
        <w:t>Load Workday workforce and verified qualification aggregates through approved extracts. Keep customer-defined service minima, off-site capacity, operations and dependencies on a separate route. Financial inputs can come from Workday or an external finance system. Exact sensitive values remain optional and are omitted when the scenario does not need them.</w:t>
      </w:r>
    </w:p>
    <w:p>
      <w:r>
        <w:t>The workbook adapter reads only approved data ranges, excludes instructions and empty rows, validates headers and stamps submissions with source version, as-of date and batch ID. Do not assume Prism can ingest an arbitrary multi-sheet workbook with help rows without preprocessing.</w:t>
      </w:r>
    </w:p>
    <w:p>
      <w:pPr>
        <w:pStyle w:val="Heading2"/>
      </w:pPr>
      <w:r>
        <w:t>Prepare reusable datasets</w:t>
      </w:r>
    </w:p>
    <w:p>
      <w:r>
        <w:t>Use Prism tables and data change tasks for repeatable acquisition. Prepare reusable analytical datasets with derived transformations, then configure security before publishing. A table uses Enable for Analysis; a dataset uses publishing to expose its Prism data source. Reports and Discovery Boards consume those sources. [S1]</w:t>
      </w:r>
    </w:p>
    <w:p>
      <w:r>
        <w:t>Normalize types and units, retain original values, validate business keys, aggregate to the intended grain and then join. Route invalid records into visible exceptions. Do not silently discard records to make a validation check pass.</w:t>
      </w:r>
    </w:p>
    <w:p>
      <w:pPr>
        <w:pStyle w:val="Heading2"/>
      </w:pPr>
      <w:r>
        <w:t>Prevent duplicate supply and cost</w:t>
      </w:r>
    </w:p>
    <w:tbl>
      <w:tblPr>
        <w:tblW w:type="auto" w:w="0"/>
        <w:tblLayout w:type="fixed"/>
        <w:tblLook w:firstColumn="1" w:firstRow="1" w:lastColumn="0" w:lastRow="0" w:noHBand="0" w:noVBand="1" w:val="04A0"/>
      </w:tblPr>
      <w:tblGrid>
        <w:gridCol w:w="2880"/>
        <w:gridCol w:w="2880"/>
        <w:gridCol w:w="4320"/>
      </w:tblGrid>
      <w:tr>
        <w:trPr>
          <w:tblHeader/>
        </w:trPr>
        <w:tc>
          <w:tcPr>
            <w:tcW w:type="dxa" w:w="2880"/>
            <w:tcBorders>
              <w:top w:val="single" w:sz="4" w:color="D9D9D9"/>
              <w:left w:val="single" w:sz="4" w:color="D9D9D9"/>
              <w:bottom w:val="single" w:sz="4" w:color="D9D9D9"/>
              <w:right w:val="single" w:sz="4" w:color="D9D9D9"/>
            </w:tcBorders>
            <w:shd w:fill="DCE6F1"/>
          </w:tcPr>
          <w:p>
            <w:pPr>
              <w:spacing w:after="100" w:before="100"/>
            </w:pPr>
            <w:r>
              <w:rPr>
                <w:b/>
                <w:sz w:val="18"/>
              </w:rPr>
              <w:t>Join</w:t>
            </w:r>
          </w:p>
        </w:tc>
        <w:tc>
          <w:tcPr>
            <w:tcW w:type="dxa" w:w="2880"/>
            <w:tcBorders>
              <w:top w:val="single" w:sz="4" w:color="D9D9D9"/>
              <w:left w:val="single" w:sz="4" w:color="D9D9D9"/>
              <w:bottom w:val="single" w:sz="4" w:color="D9D9D9"/>
              <w:right w:val="single" w:sz="4" w:color="D9D9D9"/>
            </w:tcBorders>
            <w:shd w:fill="DCE6F1"/>
          </w:tcPr>
          <w:p>
            <w:pPr>
              <w:spacing w:after="100" w:before="100"/>
            </w:pPr>
            <w:r>
              <w:rPr>
                <w:b/>
                <w:sz w:val="18"/>
              </w:rPr>
              <w:t>Expected relationship</w:t>
            </w:r>
          </w:p>
        </w:tc>
        <w:tc>
          <w:tcPr>
            <w:tcW w:type="dxa" w:w="4320"/>
            <w:tcBorders>
              <w:top w:val="single" w:sz="4" w:color="D9D9D9"/>
              <w:left w:val="single" w:sz="4" w:color="D9D9D9"/>
              <w:bottom w:val="single" w:sz="4" w:color="D9D9D9"/>
              <w:right w:val="single" w:sz="4" w:color="D9D9D9"/>
            </w:tcBorders>
            <w:shd w:fill="DCE6F1"/>
          </w:tcPr>
          <w:p>
            <w:pPr>
              <w:spacing w:after="100" w:before="100"/>
            </w:pPr>
            <w:r>
              <w:rPr>
                <w:b/>
                <w:sz w:val="18"/>
              </w:rPr>
              <w:t>Required check</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Workforce to dimension mapping</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Many to one</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sz w:val="18"/>
              </w:rPr>
              <w:t>Mapping keys unique; no workforce row growth</w:t>
            </w:r>
          </w:p>
        </w:tc>
      </w:tr>
      <w:tr>
        <w:tc>
          <w:tcPr>
            <w:tcW w:type="dxa" w:w="2880"/>
            <w:tcBorders>
              <w:top w:val="single" w:sz="4" w:color="D9D9D9"/>
              <w:left w:val="single" w:sz="4" w:color="D9D9D9"/>
              <w:bottom w:val="single" w:sz="4" w:color="D9D9D9"/>
              <w:right w:val="single" w:sz="4" w:color="D9D9D9"/>
            </w:tcBorders>
            <w:shd w:fill="F4F6F8"/>
          </w:tcPr>
          <w:p>
            <w:pPr>
              <w:spacing w:after="100" w:before="100"/>
            </w:pPr>
            <w:r>
              <w:rPr>
                <w:b w:val="0"/>
                <w:sz w:val="18"/>
              </w:rPr>
              <w:t>Service requirements to supply</w:t>
            </w:r>
          </w:p>
        </w:tc>
        <w:tc>
          <w:tcPr>
            <w:tcW w:type="dxa" w:w="2880"/>
            <w:tcBorders>
              <w:top w:val="single" w:sz="4" w:color="D9D9D9"/>
              <w:left w:val="single" w:sz="4" w:color="D9D9D9"/>
              <w:bottom w:val="single" w:sz="4" w:color="D9D9D9"/>
              <w:right w:val="single" w:sz="4" w:color="D9D9D9"/>
            </w:tcBorders>
            <w:shd w:fill="F4F6F8"/>
          </w:tcPr>
          <w:p>
            <w:pPr>
              <w:spacing w:after="100" w:before="100"/>
            </w:pPr>
            <w:r>
              <w:rPr>
                <w:b w:val="0"/>
                <w:sz w:val="18"/>
              </w:rPr>
              <w:t>Many to one at matched period and scope</w:t>
            </w:r>
          </w:p>
        </w:tc>
        <w:tc>
          <w:tcPr>
            <w:tcW w:type="dxa" w:w="4320"/>
            <w:tcBorders>
              <w:top w:val="single" w:sz="4" w:color="D9D9D9"/>
              <w:left w:val="single" w:sz="4" w:color="D9D9D9"/>
              <w:bottom w:val="single" w:sz="4" w:color="D9D9D9"/>
              <w:right w:val="single" w:sz="4" w:color="D9D9D9"/>
            </w:tcBorders>
            <w:shd w:fill="F4F6F8"/>
          </w:tcPr>
          <w:p>
            <w:pPr>
              <w:spacing w:after="100" w:before="100"/>
            </w:pPr>
            <w:r>
              <w:rPr>
                <w:b w:val="0"/>
                <w:sz w:val="18"/>
              </w:rPr>
              <w:t>Supply repeated for services is non-additive</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Skill requirements to qualifications</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Many to one at matched skill grain</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sz w:val="18"/>
              </w:rPr>
              <w:t>Counts can overlap across skills</w:t>
            </w:r>
          </w:p>
        </w:tc>
      </w:tr>
      <w:tr>
        <w:tc>
          <w:tcPr>
            <w:tcW w:type="dxa" w:w="2880"/>
            <w:tcBorders>
              <w:top w:val="single" w:sz="4" w:color="D9D9D9"/>
              <w:left w:val="single" w:sz="4" w:color="D9D9D9"/>
              <w:bottom w:val="single" w:sz="4" w:color="D9D9D9"/>
              <w:right w:val="single" w:sz="4" w:color="D9D9D9"/>
            </w:tcBorders>
            <w:shd w:fill="F4F6F8"/>
          </w:tcPr>
          <w:p>
            <w:pPr>
              <w:spacing w:after="100" w:before="100"/>
            </w:pPr>
            <w:r>
              <w:rPr>
                <w:b w:val="0"/>
                <w:sz w:val="18"/>
              </w:rPr>
              <w:t>Finance to services</w:t>
            </w:r>
          </w:p>
        </w:tc>
        <w:tc>
          <w:tcPr>
            <w:tcW w:type="dxa" w:w="2880"/>
            <w:tcBorders>
              <w:top w:val="single" w:sz="4" w:color="D9D9D9"/>
              <w:left w:val="single" w:sz="4" w:color="D9D9D9"/>
              <w:bottom w:val="single" w:sz="4" w:color="D9D9D9"/>
              <w:right w:val="single" w:sz="4" w:color="D9D9D9"/>
            </w:tcBorders>
            <w:shd w:fill="F4F6F8"/>
          </w:tcPr>
          <w:p>
            <w:pPr>
              <w:spacing w:after="100" w:before="100"/>
            </w:pPr>
            <w:r>
              <w:rPr>
                <w:b w:val="0"/>
                <w:sz w:val="18"/>
              </w:rPr>
              <w:t>Many to many unless allocation exists</w:t>
            </w:r>
          </w:p>
        </w:tc>
        <w:tc>
          <w:tcPr>
            <w:tcW w:type="dxa" w:w="4320"/>
            <w:tcBorders>
              <w:top w:val="single" w:sz="4" w:color="D9D9D9"/>
              <w:left w:val="single" w:sz="4" w:color="D9D9D9"/>
              <w:bottom w:val="single" w:sz="4" w:color="D9D9D9"/>
              <w:right w:val="single" w:sz="4" w:color="D9D9D9"/>
            </w:tcBorders>
            <w:shd w:fill="F4F6F8"/>
          </w:tcPr>
          <w:p>
            <w:pPr>
              <w:spacing w:after="100" w:before="100"/>
            </w:pPr>
            <w:r>
              <w:rPr>
                <w:b w:val="0"/>
                <w:sz w:val="18"/>
              </w:rPr>
              <w:t>Require approved allocation or report at finance grain</w:t>
            </w:r>
          </w:p>
        </w:tc>
      </w:tr>
    </w:tbl>
    <w:p>
      <w:pPr>
        <w:spacing w:before="160"/>
      </w:pPr>
      <w:r>
        <w:t>Scope expansion from location groups must be explicit and deduplicated. Keep effective dates and source versions in matching logic. Missing matches remain unknown and visible.</w:t>
      </w:r>
    </w:p>
    <w:p>
      <w:r>
        <w:br w:type="page"/>
      </w:r>
    </w:p>
    <w:p>
      <w:pPr>
        <w:pStyle w:val="Heading1"/>
      </w:pPr>
      <w:r>
        <w:t>Logical data model and business rules</w:t>
      </w:r>
    </w:p>
    <w:p>
      <w:r>
        <w:t>The Excel Data Catalogue defines proposed logical datasets. Physical Prism objects may be consolidated only when grain, ownership, refresh and security are compatible. These names are design labels, not standard Workday objects.</w:t>
      </w:r>
    </w:p>
    <w:tbl>
      <w:tblPr>
        <w:tblW w:type="auto" w:w="0"/>
        <w:tblLayout w:type="fixed"/>
        <w:tblLook w:firstColumn="1" w:firstRow="1" w:lastColumn="0" w:lastRow="0" w:noHBand="0" w:noVBand="1" w:val="04A0"/>
      </w:tblPr>
      <w:tblGrid>
        <w:gridCol w:w="2304"/>
        <w:gridCol w:w="7776"/>
      </w:tblGrid>
      <w:tr>
        <w:trPr>
          <w:tblHeader/>
        </w:trPr>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18"/>
              </w:rPr>
              <w:t>Domain</w:t>
            </w:r>
          </w:p>
        </w:tc>
        <w:tc>
          <w:tcPr>
            <w:tcW w:type="dxa" w:w="7776"/>
            <w:tcBorders>
              <w:top w:val="single" w:sz="4" w:color="D9D9D9"/>
              <w:left w:val="single" w:sz="4" w:color="D9D9D9"/>
              <w:bottom w:val="single" w:sz="4" w:color="D9D9D9"/>
              <w:right w:val="single" w:sz="4" w:color="D9D9D9"/>
            </w:tcBorders>
            <w:shd w:fill="DCE6F1"/>
          </w:tcPr>
          <w:p>
            <w:pPr>
              <w:spacing w:after="100" w:before="100"/>
            </w:pPr>
            <w:r>
              <w:rPr>
                <w:b/>
                <w:sz w:val="18"/>
              </w:rPr>
              <w:t>Logical datasets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Workforce</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Workforce_Snapshot; Qualification_Snapshot</w:t>
            </w:r>
          </w:p>
        </w:tc>
      </w:tr>
      <w:tr>
        <w:tc>
          <w:tcPr>
            <w:tcW w:type="dxa" w:w="2304"/>
            <w:tcBorders>
              <w:top w:val="single" w:sz="4" w:color="D9D9D9"/>
              <w:left w:val="single" w:sz="4" w:color="D9D9D9"/>
              <w:bottom w:val="single" w:sz="4" w:color="D9D9D9"/>
              <w:right w:val="single" w:sz="4" w:color="D9D9D9"/>
            </w:tcBorders>
            <w:shd w:fill="F4F6F8"/>
          </w:tcPr>
          <w:p>
            <w:pPr>
              <w:spacing w:after="100" w:before="100"/>
            </w:pPr>
            <w:r>
              <w:rPr>
                <w:b w:val="0"/>
                <w:sz w:val="18"/>
              </w:rPr>
              <w:t>Service demand</w:t>
            </w:r>
          </w:p>
        </w:tc>
        <w:tc>
          <w:tcPr>
            <w:tcW w:type="dxa" w:w="7776"/>
            <w:tcBorders>
              <w:top w:val="single" w:sz="4" w:color="D9D9D9"/>
              <w:left w:val="single" w:sz="4" w:color="D9D9D9"/>
              <w:bottom w:val="single" w:sz="4" w:color="D9D9D9"/>
              <w:right w:val="single" w:sz="4" w:color="D9D9D9"/>
            </w:tcBorders>
            <w:shd w:fill="F4F6F8"/>
          </w:tcPr>
          <w:p>
            <w:pPr>
              <w:spacing w:after="100" w:before="100"/>
            </w:pPr>
            <w:r>
              <w:rPr>
                <w:b w:val="0"/>
                <w:sz w:val="18"/>
              </w:rPr>
              <w:t>Service_Requirements; Service_Qualifications; Offsite_Capability</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Finance and operations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Financial_Performance; Liquidity_Snapshot; Operational_Capacity; Critical_Dependencies</w:t>
            </w:r>
          </w:p>
        </w:tc>
      </w:tr>
      <w:tr>
        <w:tc>
          <w:tcPr>
            <w:tcW w:type="dxa" w:w="2304"/>
            <w:tcBorders>
              <w:top w:val="single" w:sz="4" w:color="D9D9D9"/>
              <w:left w:val="single" w:sz="4" w:color="D9D9D9"/>
              <w:bottom w:val="single" w:sz="4" w:color="D9D9D9"/>
              <w:right w:val="single" w:sz="4" w:color="D9D9D9"/>
            </w:tcBorders>
            <w:shd w:fill="F4F6F8"/>
          </w:tcPr>
          <w:p>
            <w:pPr>
              <w:spacing w:after="100" w:before="100"/>
            </w:pPr>
            <w:r>
              <w:rPr>
                <w:b w:val="0"/>
                <w:sz w:val="18"/>
              </w:rPr>
              <w:t>Scenario governance</w:t>
            </w:r>
          </w:p>
        </w:tc>
        <w:tc>
          <w:tcPr>
            <w:tcW w:type="dxa" w:w="7776"/>
            <w:tcBorders>
              <w:top w:val="single" w:sz="4" w:color="D9D9D9"/>
              <w:left w:val="single" w:sz="4" w:color="D9D9D9"/>
              <w:bottom w:val="single" w:sz="4" w:color="D9D9D9"/>
              <w:right w:val="single" w:sz="4" w:color="D9D9D9"/>
            </w:tcBorders>
            <w:shd w:fill="F4F6F8"/>
          </w:tcPr>
          <w:p>
            <w:pPr>
              <w:spacing w:after="100" w:before="100"/>
            </w:pPr>
            <w:r>
              <w:rPr>
                <w:b w:val="0"/>
                <w:sz w:val="18"/>
              </w:rPr>
              <w:t>Scenario_Register; Assumption_Versions; Approval_Records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Runs and plans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Simulation_Runs; Simulation_Results; Mitigation_Plans; Quality_Results</w:t>
            </w:r>
          </w:p>
        </w:tc>
      </w:tr>
    </w:tbl>
    <w:p>
      <w:pPr>
        <w:pStyle w:val="Heading2"/>
      </w:pPr>
      <w:r>
        <w:t>Workforce and service capacity</w:t>
      </w:r>
    </w:p>
    <w:p>
      <w:r>
        <w:t>Filled FTE measures occupied capacity, so vacancy is not subtracted again. Define whether leave is a point-in-time snapshot or a period average and whether it is already excluded from reported FTE. Keep Workday Worker Type terminology. Base pay is not the full cost of operating a role.</w:t>
      </w:r>
    </w:p>
    <w:p>
      <w:r>
        <w:t>Minimum FTE is a customer requirement. Off-site capable FTE or percentage is customer input unless a verified custom Workday solution supplies it. Record the denominator for a percentage. Preserve Dedicated, Shared and Backup capacity relationships as bands; they do not justify invented allocation percentages.</w:t>
      </w:r>
    </w:p>
    <w:p>
      <w:pPr>
        <w:pStyle w:val="Heading2"/>
      </w:pPr>
      <w:r>
        <w:t>Qualification and finance limits</w:t>
      </w:r>
    </w:p>
    <w:p>
      <w:r>
        <w:t>Split service staffing requirements from per-skill requirements internally so repeated skills do not repeat staffing demand. Qualified headcount is not necessarily available headcount. Separate skill counts cannot establish joint qualification coverage without supporting evidence.</w:t>
      </w:r>
    </w:p>
    <w:p>
      <w:r>
        <w:t>Keep Actual, Budget, Forecast and Scenario distinct. Match currency, period and planning unit before calculating exposure. Bands and indices support screening but cannot produce exact monetary impact. Cash runway requires validated net outflow and available liquidity, not a cash balance alone.</w:t>
      </w:r>
    </w:p>
    <w:p>
      <w:r>
        <w:br w:type="page"/>
      </w:r>
    </w:p>
    <w:p>
      <w:pPr>
        <w:pStyle w:val="Heading1"/>
      </w:pPr>
      <w:r>
        <w:t>Simulation lifecycle and editable assumptions</w:t>
      </w:r>
    </w:p>
    <w:p>
      <w:pPr>
        <w:pStyle w:val="Heading2"/>
      </w:pPr>
      <w:r>
        <w:t>Run sequence</w:t>
      </w:r>
    </w:p>
    <w:p>
      <w:r>
        <w:t>1. Load and reconcile a complete source submission. The controller checks readiness for the requested scenario scope.</w:t>
      </w:r>
    </w:p>
    <w:p>
      <w:r>
        <w:t>2. The AI agent proposes most scenarios from available evidence. Customers may add a plain-language request, target scope, timing, constraints and assumptions.</w:t>
      </w:r>
    </w:p>
    <w:p>
      <w:r>
        <w:t>3. Review the scenario definition and its assumptions. Label AI estimates explicitly with basis, unit, confidence and approval status.</w:t>
      </w:r>
    </w:p>
    <w:p>
      <w:r>
        <w:t>4. Freeze the source versions, scenario version, assumption snapshot and calculation model version under a new Run ID.</w:t>
      </w:r>
    </w:p>
    <w:p>
      <w:r>
        <w:t>5. Execute deterministic calculations for numeric impacts. The AI explains gaps, limitations and mitigation options from those results.</w:t>
      </w:r>
    </w:p>
    <w:p>
      <w:r>
        <w:t>6. Review one scenario at a time. Record each decision against the exact mitigation version and retain conditions and required reviews.</w:t>
      </w:r>
    </w:p>
    <w:p>
      <w:r>
        <w:t>7. Return results to Prism through controlled ingestion. Publish authorized comparisons and plan status. Create milestones for approved or conditionally approved actions.</w:t>
      </w:r>
    </w:p>
    <w:p>
      <w:pPr>
        <w:pStyle w:val="Heading2"/>
      </w:pPr>
      <w:r>
        <w:t>Edit the same assumption row</w:t>
      </w:r>
    </w:p>
    <w:p>
      <w:r>
        <w:t>Customers replace the Current Value on the existing assumption row. Preserve Original Value and Original Origin. The adapter captures an immutable version for each submission and run. Current Owner identifies the current assertion owner; authenticated editor identity comes from the workflow audit trail, not from a formula comparing old and new values.</w:t>
      </w:r>
    </w:p>
    <w:p>
      <w:r>
        <w:t>Changing an assumption starts a new run. Retain prior outputs for comparison and re-review any affected approvals. The simulation output must list the assumptions actually used, including every AI-origin value that remains unresolved.</w:t>
      </w:r>
    </w:p>
    <w:p>
      <w:pPr>
        <w:pStyle w:val="Heading2"/>
      </w:pPr>
      <w:r>
        <w:t>Relocation example</w:t>
      </w:r>
    </w:p>
    <w:p>
      <w:r>
        <w:t>A request can describe moving production from City A in Germany to City X in India. The customer can supply transition duration, target output, hiring lead times and continuity requirements. The agent identifies missing evidence and proposes explicit assumptions. Compare origin-site coverage, destination hiring and skills, transition overlap and service continuity. Costs remain unknown where approved financial inputs are absent.</w:t>
      </w:r>
    </w:p>
    <w:p>
      <w:r>
        <w:br w:type="page"/>
      </w:r>
    </w:p>
    <w:p>
      <w:pPr>
        <w:pStyle w:val="Heading1"/>
      </w:pPr>
      <w:r>
        <w:t>Security reliability and reporting</w:t>
      </w:r>
    </w:p>
    <w:p>
      <w:pPr>
        <w:pStyle w:val="Heading2"/>
      </w:pPr>
      <w:r>
        <w:t>Apply security at every boundary</w:t>
      </w:r>
    </w:p>
    <w:p>
      <w:r>
        <w:t>Source Workday field security is not automatically retained inside the Prism Data Catalog. Restrict table and dataset access, then separately configure analysis-facing data security. Sharing a dataset is not equivalent to securing its published data source. Test representative authorized and unauthorized identities, including the integration identity; verify republishing needs after security changes. [S2]</w:t>
      </w:r>
    </w:p>
    <w:p>
      <w:r>
        <w:t>Keep sensitive finance and restructuring data separated where access differs. Aggregate upstream and apply customer-approved controls for small populations and differencing across runs. Anonymization does not remove the need to review sensitive business outputs. Exported data, AI processing, retained snapshots and result uploads need their own access and retention controls.</w:t>
      </w:r>
    </w:p>
    <w:p>
      <w:pPr>
        <w:pStyle w:val="Heading2"/>
      </w:pPr>
      <w:r>
        <w:t>Control the external engine</w:t>
      </w:r>
    </w:p>
    <w:p>
      <w:r>
        <w:t>Verify the supported export and ingestion method, entitlements and identity in the target tenant. Do not assume a particular API or connector exists. The controller should request only the data required for the selected scenario and keep credentials outside workbooks and skill files.</w:t>
      </w:r>
    </w:p>
    <w:p>
      <w:r>
        <w:t>Use idempotent batch and result keys to make retries safe. A run must not mix versions from partially refreshed sources. Preserve immutable inputs and model versions; Prism lineage alone is not a complete simulation snapshot. AI narrative may vary even when deterministic numeric results are reproducible.</w:t>
      </w:r>
    </w:p>
    <w:p>
      <w:pPr>
        <w:pStyle w:val="Heading2"/>
      </w:pPr>
      <w:r>
        <w:t>Proposed reporting views</w:t>
      </w:r>
    </w:p>
    <w:tbl>
      <w:tblPr>
        <w:tblW w:type="auto" w:w="0"/>
        <w:tblLayout w:type="fixed"/>
        <w:tblLook w:firstColumn="1" w:firstRow="1" w:lastColumn="0" w:lastRow="0" w:noHBand="0" w:noVBand="1" w:val="04A0"/>
      </w:tblPr>
      <w:tblGrid>
        <w:gridCol w:w="3024"/>
        <w:gridCol w:w="7056"/>
      </w:tblGrid>
      <w:tr>
        <w:trPr>
          <w:tblHeader/>
        </w:trPr>
        <w:tc>
          <w:tcPr>
            <w:tcW w:type="dxa" w:w="3024"/>
            <w:tcBorders>
              <w:top w:val="single" w:sz="4" w:color="D9D9D9"/>
              <w:left w:val="single" w:sz="4" w:color="D9D9D9"/>
              <w:bottom w:val="single" w:sz="4" w:color="D9D9D9"/>
              <w:right w:val="single" w:sz="4" w:color="D9D9D9"/>
            </w:tcBorders>
            <w:shd w:fill="DCE6F1"/>
          </w:tcPr>
          <w:p>
            <w:pPr>
              <w:spacing w:after="100" w:before="100"/>
            </w:pPr>
            <w:r>
              <w:rPr>
                <w:b/>
                <w:sz w:val="18"/>
              </w:rPr>
              <w:t>View</w:t>
            </w:r>
          </w:p>
        </w:tc>
        <w:tc>
          <w:tcPr>
            <w:tcW w:type="dxa" w:w="7056"/>
            <w:tcBorders>
              <w:top w:val="single" w:sz="4" w:color="D9D9D9"/>
              <w:left w:val="single" w:sz="4" w:color="D9D9D9"/>
              <w:bottom w:val="single" w:sz="4" w:color="D9D9D9"/>
              <w:right w:val="single" w:sz="4" w:color="D9D9D9"/>
            </w:tcBorders>
            <w:shd w:fill="DCE6F1"/>
          </w:tcPr>
          <w:p>
            <w:pPr>
              <w:spacing w:after="100" w:before="100"/>
            </w:pPr>
            <w:r>
              <w:rPr>
                <w:b/>
                <w:sz w:val="18"/>
              </w:rPr>
              <w:t>Audience and purpose</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Workforce and qualification baseline</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18"/>
              </w:rPr>
              <w:t>Authorized HR and operations reviewers examine supply and coverage</w:t>
            </w:r>
          </w:p>
        </w:tc>
      </w:tr>
      <w:tr>
        <w:tc>
          <w:tcPr>
            <w:tcW w:type="dxa" w:w="3024"/>
            <w:tcBorders>
              <w:top w:val="single" w:sz="4" w:color="D9D9D9"/>
              <w:left w:val="single" w:sz="4" w:color="D9D9D9"/>
              <w:bottom w:val="single" w:sz="4" w:color="D9D9D9"/>
              <w:right w:val="single" w:sz="4" w:color="D9D9D9"/>
            </w:tcBorders>
            <w:shd w:fill="F4F6F8"/>
          </w:tcPr>
          <w:p>
            <w:pPr>
              <w:spacing w:after="100" w:before="100"/>
            </w:pPr>
            <w:r>
              <w:rPr>
                <w:b w:val="0"/>
                <w:sz w:val="18"/>
              </w:rPr>
              <w:t>Service and financial exposure</w:t>
            </w:r>
          </w:p>
        </w:tc>
        <w:tc>
          <w:tcPr>
            <w:tcW w:type="dxa" w:w="7056"/>
            <w:tcBorders>
              <w:top w:val="single" w:sz="4" w:color="D9D9D9"/>
              <w:left w:val="single" w:sz="4" w:color="D9D9D9"/>
              <w:bottom w:val="single" w:sz="4" w:color="D9D9D9"/>
              <w:right w:val="single" w:sz="4" w:color="D9D9D9"/>
            </w:tcBorders>
            <w:shd w:fill="F4F6F8"/>
          </w:tcPr>
          <w:p>
            <w:pPr>
              <w:spacing w:after="100" w:before="100"/>
            </w:pPr>
            <w:r>
              <w:rPr>
                <w:b w:val="0"/>
                <w:sz w:val="18"/>
              </w:rPr>
              <w:t>Scenario reviewers examine scoped gaps and financial limits</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Simulation inputs and results</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18"/>
              </w:rPr>
              <w:t>Integration and reviewers access only permitted run data</w:t>
            </w:r>
          </w:p>
        </w:tc>
      </w:tr>
      <w:tr>
        <w:tc>
          <w:tcPr>
            <w:tcW w:type="dxa" w:w="3024"/>
            <w:tcBorders>
              <w:top w:val="single" w:sz="4" w:color="D9D9D9"/>
              <w:left w:val="single" w:sz="4" w:color="D9D9D9"/>
              <w:bottom w:val="single" w:sz="4" w:color="D9D9D9"/>
              <w:right w:val="single" w:sz="4" w:color="D9D9D9"/>
            </w:tcBorders>
            <w:shd w:fill="F4F6F8"/>
          </w:tcPr>
          <w:p>
            <w:pPr>
              <w:spacing w:after="100" w:before="100"/>
            </w:pPr>
            <w:r>
              <w:rPr>
                <w:b w:val="0"/>
                <w:sz w:val="18"/>
              </w:rPr>
              <w:t>Crisis plan status</w:t>
            </w:r>
          </w:p>
        </w:tc>
        <w:tc>
          <w:tcPr>
            <w:tcW w:type="dxa" w:w="7056"/>
            <w:tcBorders>
              <w:top w:val="single" w:sz="4" w:color="D9D9D9"/>
              <w:left w:val="single" w:sz="4" w:color="D9D9D9"/>
              <w:bottom w:val="single" w:sz="4" w:color="D9D9D9"/>
              <w:right w:val="single" w:sz="4" w:color="D9D9D9"/>
            </w:tcBorders>
            <w:shd w:fill="F4F6F8"/>
          </w:tcPr>
          <w:p>
            <w:pPr>
              <w:spacing w:after="100" w:before="100"/>
            </w:pPr>
            <w:r>
              <w:rPr>
                <w:b w:val="0"/>
                <w:sz w:val="18"/>
              </w:rPr>
              <w:t>Decision owners monitor approvals, milestones and review dates</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Data quality status</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18"/>
              </w:rPr>
              <w:t>Data owners resolve affected-scope errors and missing evidence</w:t>
            </w:r>
          </w:p>
        </w:tc>
      </w:tr>
    </w:tbl>
    <w:p>
      <w:pPr>
        <w:spacing w:before="160"/>
      </w:pPr>
      <w:r>
        <w:t>Approval to simulate, approval of a mitigation plan and authorization to execute are separate decisions. The workflow must not automate individual employment decisions.</w:t>
      </w:r>
    </w:p>
    <w:p>
      <w:r>
        <w:br w:type="page"/>
      </w:r>
    </w:p>
    <w:p>
      <w:pPr>
        <w:pStyle w:val="Heading1"/>
      </w:pPr>
      <w:r>
        <w:t>Implementation and reference materials</w:t>
      </w:r>
    </w:p>
    <w:p>
      <w:r>
        <w:t>Start with the structured workbook, Prism preparation and reporting, and one controlled simulation integration. A later application can replace the editing interface while preserving IDs, approvals, assumptions and immutable run contracts.</w:t>
      </w:r>
    </w:p>
    <w:tbl>
      <w:tblPr>
        <w:tblW w:type="auto" w:w="0"/>
        <w:tblLayout w:type="fixed"/>
        <w:tblLook w:firstColumn="1" w:firstRow="1" w:lastColumn="0" w:lastRow="0" w:noHBand="0" w:noVBand="1" w:val="04A0"/>
      </w:tblPr>
      <w:tblGrid>
        <w:gridCol w:w="3168"/>
        <w:gridCol w:w="6912"/>
      </w:tblGrid>
      <w:tr>
        <w:trPr>
          <w:tblHeader/>
        </w:trPr>
        <w:tc>
          <w:tcPr>
            <w:tcW w:type="dxa" w:w="3168"/>
            <w:tcBorders>
              <w:top w:val="single" w:sz="4" w:color="D9D9D9"/>
              <w:left w:val="single" w:sz="4" w:color="D9D9D9"/>
              <w:bottom w:val="single" w:sz="4" w:color="D9D9D9"/>
              <w:right w:val="single" w:sz="4" w:color="D9D9D9"/>
            </w:tcBorders>
            <w:shd w:fill="DCE6F1"/>
          </w:tcPr>
          <w:p>
            <w:pPr>
              <w:spacing w:after="100" w:before="100"/>
            </w:pPr>
            <w:r>
              <w:rPr>
                <w:b/>
                <w:sz w:val="18"/>
              </w:rPr>
              <w:t>Phase</w:t>
            </w:r>
          </w:p>
        </w:tc>
        <w:tc>
          <w:tcPr>
            <w:tcW w:type="dxa" w:w="6912"/>
            <w:tcBorders>
              <w:top w:val="single" w:sz="4" w:color="D9D9D9"/>
              <w:left w:val="single" w:sz="4" w:color="D9D9D9"/>
              <w:bottom w:val="single" w:sz="4" w:color="D9D9D9"/>
              <w:right w:val="single" w:sz="4" w:color="D9D9D9"/>
            </w:tcBorders>
            <w:shd w:fill="DCE6F1"/>
          </w:tcPr>
          <w:p>
            <w:pPr>
              <w:spacing w:after="100" w:before="100"/>
            </w:pPr>
            <w:r>
              <w:rPr>
                <w:b/>
                <w:sz w:val="18"/>
              </w:rPr>
              <w:t>Acceptance evidence</w:t>
            </w:r>
          </w:p>
        </w:tc>
      </w:tr>
      <w:t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1 Scope and access</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18"/>
              </w:rPr>
              <w:t>Signed scope and permitted datasets</w:t>
            </w:r>
          </w:p>
        </w:tc>
      </w:tr>
      <w:tr>
        <w:tc>
          <w:tcPr>
            <w:tcW w:type="dxa" w:w="3168"/>
            <w:tcBorders>
              <w:top w:val="single" w:sz="4" w:color="D9D9D9"/>
              <w:left w:val="single" w:sz="4" w:color="D9D9D9"/>
              <w:bottom w:val="single" w:sz="4" w:color="D9D9D9"/>
              <w:right w:val="single" w:sz="4" w:color="D9D9D9"/>
            </w:tcBorders>
            <w:shd w:fill="F4F6F8"/>
          </w:tcPr>
          <w:p>
            <w:pPr>
              <w:spacing w:after="100" w:before="100"/>
            </w:pPr>
            <w:r>
              <w:rPr>
                <w:b w:val="0"/>
                <w:sz w:val="18"/>
              </w:rPr>
              <w:t>2 Source contract</w:t>
            </w:r>
          </w:p>
        </w:tc>
        <w:tc>
          <w:tcPr>
            <w:tcW w:type="dxa" w:w="6912"/>
            <w:tcBorders>
              <w:top w:val="single" w:sz="4" w:color="D9D9D9"/>
              <w:left w:val="single" w:sz="4" w:color="D9D9D9"/>
              <w:bottom w:val="single" w:sz="4" w:color="D9D9D9"/>
              <w:right w:val="single" w:sz="4" w:color="D9D9D9"/>
            </w:tcBorders>
            <w:shd w:fill="F4F6F8"/>
          </w:tcPr>
          <w:p>
            <w:pPr>
              <w:spacing w:after="100" w:before="100"/>
            </w:pPr>
            <w:r>
              <w:rPr>
                <w:b w:val="0"/>
                <w:sz w:val="18"/>
              </w:rPr>
              <w:t>Reconciled sample aggregates and mappings</w:t>
            </w:r>
          </w:p>
        </w:tc>
      </w:tr>
      <w:t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3 Baseline pipeline</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18"/>
              </w:rPr>
              <w:t>Control totals and join tests pass</w:t>
            </w:r>
          </w:p>
        </w:tc>
      </w:tr>
      <w:tr>
        <w:tc>
          <w:tcPr>
            <w:tcW w:type="dxa" w:w="3168"/>
            <w:tcBorders>
              <w:top w:val="single" w:sz="4" w:color="D9D9D9"/>
              <w:left w:val="single" w:sz="4" w:color="D9D9D9"/>
              <w:bottom w:val="single" w:sz="4" w:color="D9D9D9"/>
              <w:right w:val="single" w:sz="4" w:color="D9D9D9"/>
            </w:tcBorders>
            <w:shd w:fill="F4F6F8"/>
          </w:tcPr>
          <w:p>
            <w:pPr>
              <w:spacing w:after="100" w:before="100"/>
            </w:pPr>
            <w:r>
              <w:rPr>
                <w:b w:val="0"/>
                <w:sz w:val="18"/>
              </w:rPr>
              <w:t>4 Simulation integration</w:t>
            </w:r>
          </w:p>
        </w:tc>
        <w:tc>
          <w:tcPr>
            <w:tcW w:type="dxa" w:w="6912"/>
            <w:tcBorders>
              <w:top w:val="single" w:sz="4" w:color="D9D9D9"/>
              <w:left w:val="single" w:sz="4" w:color="D9D9D9"/>
              <w:bottom w:val="single" w:sz="4" w:color="D9D9D9"/>
              <w:right w:val="single" w:sz="4" w:color="D9D9D9"/>
            </w:tcBorders>
            <w:shd w:fill="F4F6F8"/>
          </w:tcPr>
          <w:p>
            <w:pPr>
              <w:spacing w:after="100" w:before="100"/>
            </w:pPr>
            <w:r>
              <w:rPr>
                <w:b w:val="0"/>
                <w:sz w:val="18"/>
              </w:rPr>
              <w:t>Known-case results and reruns validated</w:t>
            </w:r>
          </w:p>
        </w:tc>
      </w:tr>
      <w:t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5 Review and reporting</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18"/>
              </w:rPr>
              <w:t>Representative access tests and scenario review complete</w:t>
            </w:r>
          </w:p>
        </w:tc>
      </w:tr>
      <w:tr>
        <w:tc>
          <w:tcPr>
            <w:tcW w:type="dxa" w:w="3168"/>
            <w:tcBorders>
              <w:top w:val="single" w:sz="4" w:color="D9D9D9"/>
              <w:left w:val="single" w:sz="4" w:color="D9D9D9"/>
              <w:bottom w:val="single" w:sz="4" w:color="D9D9D9"/>
              <w:right w:val="single" w:sz="4" w:color="D9D9D9"/>
            </w:tcBorders>
            <w:shd w:fill="F4F6F8"/>
          </w:tcPr>
          <w:p>
            <w:pPr>
              <w:spacing w:after="100" w:before="100"/>
            </w:pPr>
            <w:r>
              <w:rPr>
                <w:b w:val="0"/>
                <w:sz w:val="18"/>
              </w:rPr>
              <w:t>6 Release and operate</w:t>
            </w:r>
          </w:p>
        </w:tc>
        <w:tc>
          <w:tcPr>
            <w:tcW w:type="dxa" w:w="6912"/>
            <w:tcBorders>
              <w:top w:val="single" w:sz="4" w:color="D9D9D9"/>
              <w:left w:val="single" w:sz="4" w:color="D9D9D9"/>
              <w:bottom w:val="single" w:sz="4" w:color="D9D9D9"/>
              <w:right w:val="single" w:sz="4" w:color="D9D9D9"/>
            </w:tcBorders>
            <w:shd w:fill="F4F6F8"/>
          </w:tcPr>
          <w:p>
            <w:pPr>
              <w:spacing w:after="100" w:before="100"/>
            </w:pPr>
            <w:r>
              <w:rPr>
                <w:b w:val="0"/>
                <w:sz w:val="18"/>
              </w:rPr>
              <w:t>Acceptance evidence and recovery procedure approved</w:t>
            </w:r>
          </w:p>
        </w:tc>
      </w:tr>
    </w:tbl>
    <w:p>
      <w:pPr>
        <w:spacing w:before="160"/>
      </w:pPr>
      <w:r>
        <w:t>Agree delivery dates with the customer using confirmed resources and dependencies. Do not present a generic duration as a committed plan. Before release, test duplicate keys, missing values versus zero, shared-capacity overlap, currency and period handling, access denial, stale approvals, reruns and interrupted loads.</w:t>
      </w:r>
    </w:p>
    <w:p>
      <w:pPr>
        <w:pStyle w:val="Heading2"/>
      </w:pPr>
      <w:r>
        <w:t>Using the companion workbook</w:t>
      </w:r>
    </w:p>
    <w:p>
      <w:r>
        <w:t>Architecture summarizes responsibilities. Data Catalogue defines each logical dataset. Workbook Mapping connects the approved customer sheets to the data layer. Run Contract defines reproducibility and review metadata. Controls lists implementation checks. Implementation provides editable status and date fields. Sources links the technical and schema authorities.</w:t>
      </w:r>
    </w:p>
    <w:p>
      <w:r>
        <w:t>The workbook is a design reference, not a customer intake replacement or an executable simulation model. Keep customer-filled copies private. The repository contains only generic design material. Approved intake definitions remain the authority for customer sheet and field requirements; this architecture adds implementation concepts without claiming the roadmap is already delivered.</w:t>
      </w:r>
    </w:p>
    <w:p>
      <w:pPr>
        <w:pStyle w:val="Heading2"/>
      </w:pPr>
      <w:r>
        <w:t>Sources</w:t>
      </w:r>
    </w:p>
    <w:p>
      <w:r>
        <w:t>S1  Workday Prism data management workflow. Product workflow; checked 2026-09-17.</w:t>
      </w:r>
    </w:p>
    <w:p>
      <w:pPr>
        <w:spacing w:after="100"/>
      </w:pPr>
      <w:r>
        <w:rPr>
          <w:sz w:val="16"/>
        </w:rPr>
        <w:t>https://doc.workday.com/admin-guide/en-us/reporting-and-analytics/prism-analytics/ajf1488328969750.html</w:t>
      </w:r>
    </w:p>
    <w:p>
      <w:r>
        <w:t>S2  Workday Prism security. Object access versus analysis security; checked 2026-09-17.</w:t>
      </w:r>
    </w:p>
    <w:p>
      <w:pPr>
        <w:spacing w:after="100"/>
      </w:pPr>
      <w:r>
        <w:rPr>
          <w:sz w:val="16"/>
        </w:rPr>
        <w:t>https://doc.workday.com/user-guide/en-us/workday-prism-analytics/securing-data-in-tables-and-datasets/bwd1502220225338.html</w:t>
      </w:r>
    </w:p>
    <w:p>
      <w:r>
        <w:t>S3  Prism Assistant technical reference. Independent skill guidance; tenant validation required.</w:t>
      </w:r>
    </w:p>
    <w:p>
      <w:pPr>
        <w:spacing w:after="100"/>
      </w:pPr>
      <w:r>
        <w:rPr>
          <w:sz w:val="16"/>
        </w:rPr>
        <w:t>https://github.com/vivekshukla12/workday-ai-skills/tree/main/skills/workday-prism-assistant</w:t>
      </w:r>
    </w:p>
    <w:p>
      <w:r>
        <w:t>S4  Approved workbook definitions. Authority for customer intake fields.</w:t>
      </w:r>
    </w:p>
    <w:p>
      <w:pPr>
        <w:spacing w:after="100"/>
      </w:pPr>
      <w:r>
        <w:rPr>
          <w:sz w:val="16"/>
        </w:rPr>
        <w:t>https://github.com/vivekshukla12/workday-ai-skills/blob/main/skills/workforce-crisis-planner/references/workbook-field-definitions.md</w:t>
      </w:r>
    </w:p>
    <w:p>
      <w:r>
        <w:t>S5  Enhancement roadmap. Proposed enhancements are not implemented features.</w:t>
      </w:r>
    </w:p>
    <w:p>
      <w:pPr>
        <w:spacing w:after="100"/>
      </w:pPr>
      <w:r>
        <w:rPr>
          <w:sz w:val="16"/>
        </w:rPr>
        <w:t>https://github.com/vivekshukla12/workday-ai-skills/blob/main/skills/workforce-crisis-planner/references/product-roadmap.md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Architecture for Workforce Crisis Simulation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