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color w:val="888888"/>
          <w:sz w:val="22"/>
          <w:szCs w:val="22"/>
        </w:rPr>
        <w:t xml:space="preserve">FOUNDERS ALGORITHM DOCUMENT</w:t>
      </w:r>
    </w:p>
    <w:p>
      <w:pPr>
        <w:spacing w:after="80" w:before="60"/>
        <w:jc w:val="center"/>
      </w:pPr>
      <w:r>
        <w:rPr>
          <w:rFonts w:ascii="Arial" w:cs="Arial" w:eastAsia="Arial" w:hAnsi="Arial"/>
          <w:color w:val="0D2B4E"/>
          <w:sz w:val="80"/>
          <w:szCs w:val="80"/>
        </w:rPr>
        <w:t xml:space="preserve">MACE</w:t>
      </w:r>
    </w:p>
    <w:p>
      <w:pPr>
        <w:spacing w:after="80" w:before="60"/>
        <w:jc w:val="center"/>
      </w:pPr>
      <w:r>
        <w:rPr>
          <w:rFonts w:ascii="Arial" w:cs="Arial" w:eastAsia="Arial" w:hAnsi="Arial"/>
          <w:color w:val="1A4A7A"/>
          <w:sz w:val="36"/>
          <w:szCs w:val="36"/>
        </w:rPr>
        <w:t xml:space="preserve">Multi-Domain Adaptive Correlation Engine</w:t>
      </w:r>
    </w:p>
    <w:p>
      <w:pPr>
        <w:spacing w:after="80" w:before="80"/>
        <w:jc w:val="center"/>
      </w:pPr>
      <w:r>
        <w:rPr>
          <w:rFonts w:ascii="Arial" w:cs="Arial" w:eastAsia="Arial" w:hAnsi="Arial"/>
          <w:color w:val="333333"/>
          <w:sz w:val="26"/>
          <w:szCs w:val="26"/>
        </w:rPr>
        <w:t xml:space="preserve">A Complete Technical Explanation of the Algorithm</w:t>
      </w:r>
    </w:p>
    <w:p>
      <w:pPr>
        <w:spacing w:after="80" w:before="60"/>
        <w:jc w:val="center"/>
      </w:pPr>
      <w:r>
        <w:rPr>
          <w:rFonts w:ascii="Arial" w:cs="Arial" w:eastAsia="Arial" w:hAnsi="Arial"/>
          <w:color w:val="555555"/>
          <w:sz w:val="24"/>
          <w:szCs w:val="24"/>
        </w:rPr>
        <w:t xml:space="preserve">For Founders, Investors, Engineers, and Patent Counsel</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Vivek Sindhu — Founder, CEO, Lead Inventor</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Company</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UnifiedSec Technologies Inc. — Delaware C-Corporation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explanation of the MACE algorithm — what it is, why it matters, how it works, why it is patentable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CONFIDENTIAL — Founder Reference — Share only under NDA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bl>
    <w:p>
      <w:r>
        <w:br w:type="page"/>
      </w:r>
    </w:p>
    <w:p>
      <w:pPr>
        <w:pStyle w:val="Heading1"/>
        <w:spacing w:after="220" w:before="440"/>
      </w:pPr>
      <w:r>
        <w:rPr>
          <w:rFonts w:ascii="Arial" w:cs="Arial" w:eastAsia="Arial" w:hAnsi="Arial"/>
          <w:b/>
          <w:bCs/>
          <w:sz w:val="36"/>
          <w:szCs w:val="36"/>
        </w:rPr>
        <w:t xml:space="preserve">PART I: THE STORY — WHY MACE EXISTS</w:t>
      </w:r>
    </w:p>
    <w:p>
      <w:pPr>
        <w:pStyle w:val="Heading2"/>
        <w:spacing w:after="160" w:before="300"/>
      </w:pPr>
      <w:r>
        <w:rPr>
          <w:rFonts w:ascii="Arial" w:cs="Arial" w:eastAsia="Arial" w:hAnsi="Arial"/>
          <w:b/>
          <w:bCs/>
          <w:sz w:val="28"/>
          <w:szCs w:val="28"/>
        </w:rPr>
        <w:t xml:space="preserve">The Problem in Plain English</w:t>
      </w:r>
    </w:p>
    <w:p>
      <w:pPr>
        <w:spacing w:after="80" w:before="80"/>
      </w:pPr>
      <w:r>
        <w:rPr>
          <w:rFonts w:ascii="Arial" w:cs="Arial" w:eastAsia="Arial" w:hAnsi="Arial"/>
          <w:sz w:val="22"/>
          <w:szCs w:val="22"/>
        </w:rPr>
        <w:t xml:space="preserve">Imagine you are a security analyst at a bank. It is 2 AM. Your phone rings. Three different tools are screaming alerts at you simultaneously:</w:t>
      </w:r>
    </w:p>
    <w:p>
      <w:pPr>
        <w:pStyle w:val="ListParagraph"/>
        <w:numPr>
          <w:ilvl w:val="0"/>
          <w:numId w:val="2"/>
        </w:numPr>
        <w:spacing w:after="60" w:before="60"/>
      </w:pPr>
      <w:r>
        <w:rPr>
          <w:rFonts w:ascii="Arial" w:cs="Arial" w:eastAsia="Arial" w:hAnsi="Arial"/>
          <w:sz w:val="22"/>
          <w:szCs w:val="22"/>
        </w:rPr>
        <w:t xml:space="preserve">CrowdStrike says: there is suspicious process activity on server hdfc-trading-01</w:t>
      </w:r>
    </w:p>
    <w:p>
      <w:pPr>
        <w:pStyle w:val="ListParagraph"/>
        <w:numPr>
          <w:ilvl w:val="0"/>
          <w:numId w:val="2"/>
        </w:numPr>
        <w:spacing w:after="60" w:before="60"/>
      </w:pPr>
      <w:r>
        <w:rPr>
          <w:rFonts w:ascii="Arial" w:cs="Arial" w:eastAsia="Arial" w:hAnsi="Arial"/>
          <w:sz w:val="22"/>
          <w:szCs w:val="22"/>
        </w:rPr>
        <w:t xml:space="preserve">Tenable says: hdfc-trading-01 has CVE-2024-3400 (CVSS 10.0, actively exploited)</w:t>
      </w:r>
    </w:p>
    <w:p>
      <w:pPr>
        <w:pStyle w:val="ListParagraph"/>
        <w:numPr>
          <w:ilvl w:val="0"/>
          <w:numId w:val="2"/>
        </w:numPr>
        <w:spacing w:after="60" w:before="60"/>
      </w:pPr>
      <w:r>
        <w:rPr>
          <w:rFonts w:ascii="Arial" w:cs="Arial" w:eastAsia="Arial" w:hAnsi="Arial"/>
          <w:sz w:val="22"/>
          <w:szCs w:val="22"/>
        </w:rPr>
        <w:t xml:space="preserve">Splunk says: someone logged into hdfc-trading-01 from Mumbai and Singapore within 30 minutes</w:t>
      </w:r>
    </w:p>
    <w:p>
      <w:pPr>
        <w:spacing w:after="60" w:before="60"/>
      </w:pPr>
      <w:r>
        <w:t xml:space="preserve"/>
      </w:r>
    </w:p>
    <w:p>
      <w:pPr>
        <w:spacing w:after="80" w:before="80"/>
      </w:pPr>
      <w:r>
        <w:rPr>
          <w:rFonts w:ascii="Arial" w:cs="Arial" w:eastAsia="Arial" w:hAnsi="Arial"/>
          <w:sz w:val="22"/>
          <w:szCs w:val="22"/>
        </w:rPr>
        <w:t xml:space="preserve">You have three alerts. But are they one incident or three unrelated events? Is this a CRITICAL breach requiring immediate regulatory notification? Or a misconfigured monitoring rule? You do not know. To find out, you must: (1) look up CVE-2024-3400 in the NVD to understand severity, (2) check whether CVE-2024-3400 is on the CISA Known Exploited Vulnerabilities list, (3) verify the EPSS exploitation probability score, (4) check whether hdfc-trading-01 is internet-facing, (5) correlate the CrowdStrike alert with the Splunk login event, (6) determine whether the Mumbai-Singapore login is physically possible in 30 minutes (it is not — impossible travel), (7) if it is a breach, look up the CERT-In 2022 reporting deadline (6 hours), (8) draft the CERT-In notification, (9) look up the RBI cybersecurity framework notification requirements, and (10) draft the SEC 8-K if the bank is listed. This takes a skilled analyst 4-6 hours. The regulatory clock is already ticking.</w:t>
      </w:r>
    </w:p>
    <w:p>
      <w:pPr>
        <w:spacing w:after="60" w:before="60"/>
      </w:pPr>
      <w:r>
        <w:t xml:space="preserve"/>
      </w:r>
    </w:p>
    <w:p>
      <w:pPr>
        <w:spacing w:after="80" w:before="80"/>
      </w:pPr>
      <w:r>
        <w:rPr>
          <w:rFonts w:ascii="Arial" w:cs="Arial" w:eastAsia="Arial" w:hAnsi="Arial"/>
          <w:sz w:val="22"/>
          <w:szCs w:val="22"/>
        </w:rPr>
        <w:t xml:space="preserve">MACE does all of this in under 5 minutes — automatically — and outputs: CDCS = 9.8/10, CRITICAL, aeCERT reference number AECERT/2026/05/INC-XXXXXXXX, and a pre-filled regulatory notification draft ready to submit. This is what MACE is.</w:t>
      </w:r>
    </w:p>
    <w:p>
      <w:r>
        <w:br w:type="page"/>
      </w:r>
    </w:p>
    <w:p>
      <w:pPr>
        <w:pStyle w:val="Heading1"/>
        <w:spacing w:after="220" w:before="440"/>
      </w:pPr>
      <w:r>
        <w:rPr>
          <w:rFonts w:ascii="Arial" w:cs="Arial" w:eastAsia="Arial" w:hAnsi="Arial"/>
          <w:b/>
          <w:bCs/>
          <w:sz w:val="36"/>
          <w:szCs w:val="36"/>
        </w:rPr>
        <w:t xml:space="preserve">PART II: THE THREE INVENTIONS</w:t>
      </w:r>
    </w:p>
    <w:p>
      <w:pPr>
        <w:pStyle w:val="Heading2"/>
        <w:spacing w:after="160" w:before="300"/>
      </w:pPr>
      <w:r>
        <w:rPr>
          <w:rFonts w:ascii="Arial" w:cs="Arial" w:eastAsia="Arial" w:hAnsi="Arial"/>
          <w:b/>
          <w:bCs/>
          <w:sz w:val="28"/>
          <w:szCs w:val="28"/>
        </w:rPr>
        <w:t xml:space="preserve">Invention 1: UTAG — The Asset Identity Problem</w:t>
      </w:r>
    </w:p>
    <w:p>
      <w:pPr>
        <w:pStyle w:val="Heading3"/>
        <w:spacing w:after="120" w:before="240"/>
      </w:pPr>
      <w:r>
        <w:rPr>
          <w:rFonts w:ascii="Arial" w:cs="Arial" w:eastAsia="Arial" w:hAnsi="Arial"/>
          <w:b/>
          <w:bCs/>
          <w:sz w:val="24"/>
          <w:szCs w:val="24"/>
        </w:rPr>
        <w:t xml:space="preserve">What Problem Does UTAG Solve?</w:t>
      </w:r>
    </w:p>
    <w:p>
      <w:pPr>
        <w:spacing w:after="80" w:before="80"/>
      </w:pPr>
      <w:r>
        <w:rPr>
          <w:rFonts w:ascii="Arial" w:cs="Arial" w:eastAsia="Arial" w:hAnsi="Arial"/>
          <w:sz w:val="22"/>
          <w:szCs w:val="22"/>
        </w:rPr>
        <w:t xml:space="preserve">Every security tool tracks assets differently. CrowdStrike uses a device_id. Tenable uses a UUID. Your CMDB uses a hostname. Your IPAM uses an IP address. The same physical server — hdfc-trading-01 — appears as four separate records in four different tools. When you try to correlate a CrowdStrike alert with a Tenable vulnerability, you are matching across these four identifiers. They frequently disagree. Hostnames change. IP addresses change. Only hardware identifiers (MAC address, serial number, TLS certificate fingerprint) are stable.</w:t>
      </w:r>
    </w:p>
    <w:p>
      <w:pPr>
        <w:spacing w:after="60" w:before="60"/>
      </w:pPr>
      <w:r>
        <w:t xml:space="preserve"/>
      </w:r>
    </w:p>
    <w:p>
      <w:pPr>
        <w:pStyle w:val="Heading3"/>
        <w:spacing w:after="120" w:before="240"/>
      </w:pPr>
      <w:r>
        <w:rPr>
          <w:rFonts w:ascii="Arial" w:cs="Arial" w:eastAsia="Arial" w:hAnsi="Arial"/>
          <w:b/>
          <w:bCs/>
          <w:sz w:val="24"/>
          <w:szCs w:val="24"/>
        </w:rPr>
        <w:t xml:space="preserve">How UTAG Solves It</w:t>
      </w:r>
    </w:p>
    <w:p>
      <w:pPr>
        <w:spacing w:after="80" w:before="80"/>
      </w:pPr>
      <w:r>
        <w:rPr>
          <w:rFonts w:ascii="Arial" w:cs="Arial" w:eastAsia="Arial" w:hAnsi="Arial"/>
          <w:sz w:val="22"/>
          <w:szCs w:val="22"/>
        </w:rPr>
        <w:t xml:space="preserve">UTAG is a graph where each node represents one real-world asset. When a new observation arrives from any tool, UTAG computes a match score against all existing nodes using six identity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Identity Dimension</w:t>
            </w:r>
          </w:p>
        </w:tc>
        <w:tc>
          <w:tcPr>
            <w:tcW w:type="dxa" w:w="18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1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Why This 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 (×1.15 hardware boost)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Hardware-burned — cannot be changed without physical access. Most reliable identifier.</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Cloud Instance ID</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0.45</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Immutable within a cloud account. Equivalent to hardware ID in cloud environments.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Certificate Fingerprint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Cryptographically tied to the host. Changes rarely and predictably.</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Hostname</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0.35</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Fairly stable but can be renamed. Lower weight than hardware 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reliable but often not exposed by security tools. High weight when present.</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IP Address</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0.20</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Volatile — DHCP, VPN, NAT. Useful as tiebreaker only, never as primary identity.</w:t>
            </w:r>
          </w:p>
        </w:tc>
      </w:tr>
    </w:tbl>
    <w:p>
      <w:pPr>
        <w:spacing w:after="60" w:before="60"/>
      </w:pPr>
      <w:r>
        <w:t xml:space="preserve"/>
      </w:r>
    </w:p>
    <w:p>
      <w:pPr>
        <w:spacing w:after="80" w:before="80"/>
      </w:pPr>
      <w:r>
        <w:rPr>
          <w:rFonts w:ascii="Arial" w:cs="Arial" w:eastAsia="Arial" w:hAnsi="Arial"/>
          <w:sz w:val="22"/>
          <w:szCs w:val="22"/>
        </w:rPr>
        <w:t xml:space="preserve">If the score reaches 0.38 or higher, the new record is merged into the existing node. The node's source_set grows (now seen by both CrowdStrike and Tenable), its quorum_sources increases, and its Asset Confidence Score (ACS) improves. If no match, a new canonical node is created with a permanent UUID.</w:t>
      </w:r>
    </w:p>
    <w:p>
      <w:pPr>
        <w:spacing w:after="60" w:before="60"/>
      </w:pPr>
      <w:r>
        <w:t xml:space="preserve"/>
      </w:r>
    </w:p>
    <w:p>
      <w:pPr>
        <w:pStyle w:val="Heading3"/>
        <w:spacing w:after="120" w:before="240"/>
      </w:pPr>
      <w:r>
        <w:rPr>
          <w:rFonts w:ascii="Arial" w:cs="Arial" w:eastAsia="Arial" w:hAnsi="Arial"/>
          <w:b/>
          <w:bCs/>
          <w:sz w:val="24"/>
          <w:szCs w:val="24"/>
        </w:rPr>
        <w:t xml:space="preserve">The ACS Decay Model</w:t>
      </w:r>
    </w:p>
    <w:p>
      <w:pPr>
        <w:spacing w:after="80" w:before="80"/>
      </w:pPr>
      <w:r>
        <w:rPr>
          <w:rFonts w:ascii="Arial" w:cs="Arial" w:eastAsia="Arial" w:hAnsi="Arial"/>
          <w:sz w:val="22"/>
          <w:szCs w:val="22"/>
        </w:rPr>
        <w:t xml:space="preserve">ACS is a floating-point score between 0 and 1 representing confidence in the asset record. It is not static — it decays exponentially when the asset is not observed. An asset not seen for 7 days has its ACS halved. An asset not seen for 14 days has ACS under 0.25 — classified as stale or shadow IT. This is critical for detecting rogue devices: a laptop that was on the corporate network last month but has not checked in since is shadow IT by definition.</w:t>
      </w:r>
    </w:p>
    <w:p>
      <w:pPr>
        <w:spacing w:after="60" w:before="60"/>
      </w:pPr>
      <w:r>
        <w:t xml:space="preserve"/>
      </w:r>
    </w:p>
    <w:p>
      <w:pPr>
        <w:pStyle w:val="Heading3"/>
        <w:spacing w:after="120" w:before="240"/>
      </w:pPr>
      <w:r>
        <w:rPr>
          <w:rFonts w:ascii="Arial" w:cs="Arial" w:eastAsia="Arial" w:hAnsi="Arial"/>
          <w:b/>
          <w:bCs/>
          <w:sz w:val="24"/>
          <w:szCs w:val="24"/>
        </w:rPr>
        <w:t xml:space="preserve">Geo-Velocity Detection</w:t>
      </w:r>
    </w:p>
    <w:p>
      <w:pPr>
        <w:spacing w:after="80" w:before="80"/>
      </w:pPr>
      <w:r>
        <w:rPr>
          <w:rFonts w:ascii="Arial" w:cs="Arial" w:eastAsia="Arial" w:hAnsi="Arial"/>
          <w:sz w:val="22"/>
          <w:szCs w:val="22"/>
        </w:rPr>
        <w:t xml:space="preserve">UTAG also tracks where in the world each asset is observed. If the same asset is seen in Mumbai at 2:00 AM and Singapore at 2:15 AM, UTAG computes the Haversine geodesic distance (approximately 2,800 km) divided by the time delta (15 minutes = 0.25 hours) = 11,200 km/h. Since no legitimate device can travel at 11,200 km/h, this is flagged as an impossible geo-velocity anomaly — a strong indicator of credential theft or session hijacking.</w:t>
      </w:r>
    </w:p>
    <w:p>
      <w:pPr>
        <w:spacing w:after="60" w:before="60"/>
      </w:pPr>
      <w:r>
        <w:t xml:space="preserve"/>
      </w:r>
    </w:p>
    <w:p>
      <w:pPr>
        <w:pStyle w:val="Heading2"/>
        <w:spacing w:after="160" w:before="300"/>
      </w:pPr>
      <w:r>
        <w:rPr>
          <w:rFonts w:ascii="Arial" w:cs="Arial" w:eastAsia="Arial" w:hAnsi="Arial"/>
          <w:b/>
          <w:bCs/>
          <w:sz w:val="28"/>
          <w:szCs w:val="28"/>
        </w:rPr>
        <w:t xml:space="preserve">Invention 2: CDCS — The Scoring Problem</w:t>
      </w:r>
    </w:p>
    <w:p>
      <w:pPr>
        <w:pStyle w:val="Heading3"/>
        <w:spacing w:after="120" w:before="240"/>
      </w:pPr>
      <w:r>
        <w:rPr>
          <w:rFonts w:ascii="Arial" w:cs="Arial" w:eastAsia="Arial" w:hAnsi="Arial"/>
          <w:b/>
          <w:bCs/>
          <w:sz w:val="24"/>
          <w:szCs w:val="24"/>
        </w:rPr>
        <w:t xml:space="preserve">What Problem Does CDCS Solve?</w:t>
      </w:r>
    </w:p>
    <w:p>
      <w:pPr>
        <w:spacing w:after="80" w:before="80"/>
      </w:pPr>
      <w:r>
        <w:rPr>
          <w:rFonts w:ascii="Arial" w:cs="Arial" w:eastAsia="Arial" w:hAnsi="Arial"/>
          <w:sz w:val="22"/>
          <w:szCs w:val="22"/>
        </w:rPr>
        <w:t xml:space="preserve">Every security tool generates its own severity rating. CrowdStrike says HIGH. Tenable says CRITICAL. Splunk says MEDIUM. These ratings are generated in isolation, using each tool's own internal logic. They cannot be directly compared or combined. When you have 500 alerts from three tools, you have no principled way to rank them. Which 5 need immediate action tonight?</w:t>
      </w:r>
    </w:p>
    <w:p>
      <w:pPr>
        <w:spacing w:after="60" w:before="60"/>
      </w:pPr>
      <w:r>
        <w:t xml:space="preserve"/>
      </w:r>
    </w:p>
    <w:p>
      <w:pPr>
        <w:spacing w:after="80" w:before="80"/>
      </w:pPr>
      <w:r>
        <w:rPr>
          <w:rFonts w:ascii="Arial" w:cs="Arial" w:eastAsia="Arial" w:hAnsi="Arial"/>
          <w:sz w:val="22"/>
          <w:szCs w:val="22"/>
        </w:rPr>
        <w:t xml:space="preserve">CDCS is a published, auditable, deterministic formula that combines signals from all six security domains into a single number from 0 to 10. An analyst can look at CDCS = 9.8 and know exactly why: the formula weights, the sub-scores, and the multipliers are all visible and explainable.</w:t>
      </w:r>
    </w:p>
    <w:p>
      <w:pPr>
        <w:spacing w:after="60" w:before="60"/>
      </w:pPr>
      <w:r>
        <w:t xml:space="preserve"/>
      </w:r>
    </w:p>
    <w:p>
      <w:pPr>
        <w:pStyle w:val="Heading3"/>
        <w:spacing w:after="120" w:before="240"/>
      </w:pPr>
      <w:r>
        <w:rPr>
          <w:rFonts w:ascii="Arial" w:cs="Arial" w:eastAsia="Arial" w:hAnsi="Arial"/>
          <w:b/>
          <w:bCs/>
          <w:sz w:val="24"/>
          <w:szCs w:val="24"/>
        </w:rPr>
        <w:t xml:space="preserve">The Formula — Step by Step</w:t>
      </w:r>
    </w:p>
    <w:p>
      <w:pPr>
        <w:spacing w:after="80" w:before="80"/>
      </w:pPr>
      <w:r>
        <w:rPr>
          <w:rFonts w:ascii="Arial" w:cs="Arial" w:eastAsia="Arial" w:hAnsi="Arial"/>
          <w:b/>
          <w:bCs/>
          <w:sz w:val="22"/>
          <w:szCs w:val="22"/>
        </w:rPr>
        <w:t xml:space="preserve">CDCS = min(10.0, [α·V + β·E + γ·I + δ·N + ε·C + ζ·T] × 10 × Smult × Blast × KCmult × ACS)</w:t>
      </w:r>
    </w:p>
    <w:p>
      <w:pPr>
        <w:spacing w:after="60" w:before="60"/>
      </w:pPr>
      <w:r>
        <w:t xml:space="preserve"/>
      </w:r>
    </w:p>
    <w:p>
      <w:pPr>
        <w:spacing w:after="80" w:before="80"/>
      </w:pPr>
      <w:r>
        <w:rPr>
          <w:rFonts w:ascii="Arial" w:cs="Arial" w:eastAsia="Arial" w:hAnsi="Arial"/>
          <w:sz w:val="22"/>
          <w:szCs w:val="22"/>
        </w:rPr>
        <w:t xml:space="preserve">Step 1 — The six sub-scores (each 0.0 to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500"/>
        <w:gridCol w:w="4660"/>
      </w:tblGrid>
      <w:tr>
        <w:tc>
          <w:tcPr>
            <w:tcW w:type="dxa" w:w="14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5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46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Example Signal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Vulnerability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CVE severity × EPSS × exploit status × exposure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CVE-2024-3400, CVSS 10.0, EPSS 0.97, internet-facing → V = 0.94</w:t>
            </w:r>
          </w:p>
        </w:tc>
      </w:tr>
      <w:tr>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Endpoint</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E</w:t>
            </w:r>
          </w:p>
        </w:tc>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EDR detection quality, malware class, process behavior</w:t>
            </w:r>
          </w:p>
        </w:tc>
        <w:tc>
          <w:tcPr>
            <w:tcW w:type="dxa" w:w="4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CrowdStrike HIGH severity detection on system process → E = 0.78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Impossible travel, MFA failures, privilege escalation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Impossible travel Mumbai-Singapore + 9 MFA failures → I = 0.91</w:t>
            </w:r>
          </w:p>
        </w:tc>
      </w:tr>
      <w:tr>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Network</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N</w:t>
            </w:r>
          </w:p>
        </w:tc>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Lateral movement, C2 beacon, DNS entropy, data exfil</w:t>
            </w:r>
          </w:p>
        </w:tc>
        <w:tc>
          <w:tcPr>
            <w:tcW w:type="dxa" w:w="4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150MB exfil to unknown external IP, 3 lateral hops → N = 0.86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STIG failures, unpatched systems, no EDR, no MFA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STIG failures, 15 missing patches, no EDR → C = 0.82</w:t>
            </w:r>
          </w:p>
        </w:tc>
      </w:tr>
      <w:tr>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Threat Intel</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w:t>
            </w:r>
          </w:p>
        </w:tc>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IOC match, campaign match, threat actor confidence</w:t>
            </w:r>
          </w:p>
        </w:tc>
        <w:tc>
          <w:tcPr>
            <w:tcW w:type="dxa" w:w="4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IOC matches APT41, active campaign, MISP sightings &gt; 50 → T = 0.88</w:t>
            </w:r>
          </w:p>
        </w:tc>
      </w:tr>
    </w:tbl>
    <w:p>
      <w:pPr>
        <w:spacing w:after="60" w:before="60"/>
      </w:pPr>
      <w:r>
        <w:t xml:space="preserve"/>
      </w:r>
    </w:p>
    <w:p>
      <w:pPr>
        <w:spacing w:after="80" w:before="80"/>
      </w:pPr>
      <w:r>
        <w:rPr>
          <w:rFonts w:ascii="Arial" w:cs="Arial" w:eastAsia="Arial" w:hAnsi="Arial"/>
          <w:sz w:val="22"/>
          <w:szCs w:val="22"/>
        </w:rPr>
        <w:t xml:space="preserve">Step 2 — The weights (α, β, γ, δ, ε, ζ) sum to 1.0. For a US FedRAMP deployment: α=0.28, β=0.22, γ=0.20, δ=0.12, ε=0.10, ζ=0.08. These reflect US regulatory emphasis on vulnerability management and endpoint detection.</w:t>
      </w:r>
    </w:p>
    <w:p>
      <w:pPr>
        <w:spacing w:after="60" w:before="60"/>
      </w:pPr>
      <w:r>
        <w:t xml:space="preserve"/>
      </w:r>
    </w:p>
    <w:p>
      <w:pPr>
        <w:spacing w:after="80" w:before="80"/>
      </w:pPr>
      <w:r>
        <w:rPr>
          <w:rFonts w:ascii="Arial" w:cs="Arial" w:eastAsia="Arial" w:hAnsi="Arial"/>
          <w:sz w:val="22"/>
          <w:szCs w:val="22"/>
        </w:rPr>
        <w:t xml:space="preserve">Step 3 — The multipliers (all stack multiplicatively):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c>
          <w:tcPr>
            <w:tcW w:type="dxa" w:w="18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8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5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 multiplier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1.0x – 1.5x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 sector → 1.50x (highest regulatory exposure)</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Blast radius</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Blast</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1.0x – 1.5x</w:t>
            </w:r>
          </w:p>
        </w:tc>
        <w:tc>
          <w:tcPr>
            <w:tcW w:type="dxa" w:w="3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3 lateral hops → 1.0 + (3 × 0.10) = 1.30x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 chain stage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KCmult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1.0x – 1.5x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Exfiltration stage → 1.50x (data already leaving)</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Asset Confidence</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ACS</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0.1x – 1.0x</w:t>
            </w:r>
          </w:p>
        </w:tc>
        <w:tc>
          <w:tcPr>
            <w:tcW w:type="dxa" w:w="3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Well-confirmed server (quorum=3) → 0.95x</w:t>
            </w:r>
          </w:p>
        </w:tc>
      </w:tr>
    </w:tbl>
    <w:p>
      <w:pPr>
        <w:spacing w:after="60" w:before="60"/>
      </w:pPr>
      <w:r>
        <w:t xml:space="preserve"/>
      </w:r>
    </w:p>
    <w:p>
      <w:pPr>
        <w:spacing w:after="80" w:before="80"/>
      </w:pPr>
      <w:r>
        <w:rPr>
          <w:rFonts w:ascii="Arial" w:cs="Arial" w:eastAsia="Arial" w:hAnsi="Arial"/>
          <w:sz w:val="22"/>
          <w:szCs w:val="22"/>
        </w:rPr>
        <w:t xml:space="preserve">Step 4 — Putting it together for the banking server example:</w:t>
      </w:r>
    </w:p>
    <w:p>
      <w:pPr>
        <w:spacing w:after="80" w:before="80"/>
      </w:pPr>
      <w:r>
        <w:rPr>
          <w:rFonts w:ascii="Arial" w:cs="Arial" w:eastAsia="Arial" w:hAnsi="Arial"/>
          <w:b w:val="false"/>
          <w:bCs w:val="false"/>
          <w:sz w:val="22"/>
          <w:szCs w:val="22"/>
        </w:rPr>
        <w:t xml:space="preserve">raw = (0.28×0.94) + (0.22×0.78) + (0.20×0.91) + (0.12×0.86) + (0.10×0.82) + (0.08×0.88)</w:t>
      </w:r>
    </w:p>
    <w:p>
      <w:pPr>
        <w:spacing w:after="80" w:before="80"/>
      </w:pPr>
      <w:r>
        <w:rPr>
          <w:rFonts w:ascii="Arial" w:cs="Arial" w:eastAsia="Arial" w:hAnsi="Arial"/>
          <w:b w:val="false"/>
          <w:bCs w:val="false"/>
          <w:sz w:val="22"/>
          <w:szCs w:val="22"/>
        </w:rPr>
        <w:t xml:space="preserve">    = 0.263 + 0.172 + 0.182 + 0.103 + 0.082 + 0.070 = 0.872</w:t>
      </w:r>
    </w:p>
    <w:p>
      <w:pPr>
        <w:spacing w:after="80" w:before="80"/>
      </w:pPr>
      <w:r>
        <w:rPr>
          <w:rFonts w:ascii="Arial" w:cs="Arial" w:eastAsia="Arial" w:hAnsi="Arial"/>
          <w:b w:val="false"/>
          <w:bCs w:val="false"/>
          <w:sz w:val="22"/>
          <w:szCs w:val="22"/>
        </w:rPr>
        <w:t xml:space="preserve">CDCS = min(10.0, 0.872 × 10 × 1.50 × 1.30 × 1.50 × 0.95)</w:t>
      </w:r>
    </w:p>
    <w:p>
      <w:pPr>
        <w:spacing w:after="80" w:before="80"/>
      </w:pPr>
      <w:r>
        <w:rPr>
          <w:rFonts w:ascii="Arial" w:cs="Arial" w:eastAsia="Arial" w:hAnsi="Arial"/>
          <w:b/>
          <w:bCs/>
          <w:sz w:val="22"/>
          <w:szCs w:val="22"/>
        </w:rPr>
        <w:t xml:space="preserve">CDCS = min(10.0, 0.872 × 10 × 2.936) = min(10.0, 25.6) = 10.0  → CRITICAL</w:t>
      </w:r>
    </w:p>
    <w:p>
      <w:pPr>
        <w:spacing w:after="60" w:before="60"/>
      </w:pPr>
      <w:r>
        <w:t xml:space="preserve"/>
      </w:r>
    </w:p>
    <w:p>
      <w:pPr>
        <w:pStyle w:val="Heading3"/>
        <w:spacing w:after="120" w:before="240"/>
      </w:pPr>
      <w:r>
        <w:rPr>
          <w:rFonts w:ascii="Arial" w:cs="Arial" w:eastAsia="Arial" w:hAnsi="Arial"/>
          <w:b/>
          <w:bCs/>
          <w:sz w:val="24"/>
          <w:szCs w:val="24"/>
        </w:rPr>
        <w:t xml:space="preserve">Adaptive Learning</w:t>
      </w:r>
    </w:p>
    <w:p>
      <w:pPr>
        <w:spacing w:after="80" w:before="80"/>
      </w:pPr>
      <w:r>
        <w:rPr>
          <w:rFonts w:ascii="Arial" w:cs="Arial" w:eastAsia="Arial" w:hAnsi="Arial"/>
          <w:sz w:val="22"/>
          <w:szCs w:val="22"/>
        </w:rPr>
        <w:t xml:space="preserve">When an analyst reviews this incident and marks it as a True Positive, the CDCS engine notes that the dominant domain (Vulnerability) correctly drove the alert. The α weight is nudged upward by a small learning delta (0.01 × learning_rate). If the analyst marks it as a False Positive, α is nudged downward. Over hundreds of incidents, the weights converge to reflect the actual threat landscape of that specific organization. This is the adaptive machine learning component — not a neural network, but a disciplined Bayesian-style update bounded to prevent drift beyond 20% from the baseline jurisdiction profile.</w:t>
      </w:r>
    </w:p>
    <w:p>
      <w:pPr>
        <w:spacing w:after="60" w:before="60"/>
      </w:pPr>
      <w:r>
        <w:t xml:space="preserve"/>
      </w:r>
    </w:p>
    <w:p>
      <w:pPr>
        <w:pStyle w:val="Heading2"/>
        <w:spacing w:after="160" w:before="300"/>
      </w:pPr>
      <w:r>
        <w:rPr>
          <w:rFonts w:ascii="Arial" w:cs="Arial" w:eastAsia="Arial" w:hAnsi="Arial"/>
          <w:b/>
          <w:bCs/>
          <w:sz w:val="28"/>
          <w:szCs w:val="28"/>
        </w:rPr>
        <w:t xml:space="preserve">Invention 3: UREA — The Regulatory Evidence Problem</w:t>
      </w:r>
    </w:p>
    <w:p>
      <w:pPr>
        <w:pStyle w:val="Heading3"/>
        <w:spacing w:after="120" w:before="240"/>
      </w:pPr>
      <w:r>
        <w:rPr>
          <w:rFonts w:ascii="Arial" w:cs="Arial" w:eastAsia="Arial" w:hAnsi="Arial"/>
          <w:b/>
          <w:bCs/>
          <w:sz w:val="24"/>
          <w:szCs w:val="24"/>
        </w:rPr>
        <w:t xml:space="preserve">What Problem Does UREA Solve?</w:t>
      </w:r>
    </w:p>
    <w:p>
      <w:pPr>
        <w:spacing w:after="80" w:before="80"/>
      </w:pPr>
      <w:r>
        <w:rPr>
          <w:rFonts w:ascii="Arial" w:cs="Arial" w:eastAsia="Arial" w:hAnsi="Arial"/>
          <w:sz w:val="22"/>
          <w:szCs w:val="22"/>
        </w:rPr>
        <w:t xml:space="preserve">When a breach occurs, organizations face two simultaneous crises: the technical response and the legal response. The legal response — regulatory notification — has hard deadlines. GDPR: 72 hours. FedRAMP: 1 hour. UAE NESA: immediate. Missing these deadlines results in fines (GDPR fines can reach 4% of global annual revenue) and regulatory censure. Currently, a compliance officer manually writes these notifications from memory and past examples, often taking hours. UREA automates the entire process.</w:t>
      </w:r>
    </w:p>
    <w:p>
      <w:pPr>
        <w:spacing w:after="60" w:before="60"/>
      </w:pPr>
      <w:r>
        <w:t xml:space="preserve"/>
      </w:r>
    </w:p>
    <w:p>
      <w:pPr>
        <w:pStyle w:val="Heading3"/>
        <w:spacing w:after="120" w:before="240"/>
      </w:pPr>
      <w:r>
        <w:rPr>
          <w:rFonts w:ascii="Arial" w:cs="Arial" w:eastAsia="Arial" w:hAnsi="Arial"/>
          <w:b/>
          <w:bCs/>
          <w:sz w:val="24"/>
          <w:szCs w:val="24"/>
        </w:rPr>
        <w:t xml:space="preserve">How UREA Works — The DFA</w:t>
      </w:r>
    </w:p>
    <w:p>
      <w:pPr>
        <w:spacing w:after="80" w:before="80"/>
      </w:pPr>
      <w:r>
        <w:rPr>
          <w:rFonts w:ascii="Arial" w:cs="Arial" w:eastAsia="Arial" w:hAnsi="Arial"/>
          <w:sz w:val="22"/>
          <w:szCs w:val="22"/>
        </w:rPr>
        <w:t xml:space="preserve">UREA is a Deterministic Finite Automaton — a formal mathematical state machine. Given the same inputs, it always produces the same outputs. This determinism is critical: it makes the regulatory evidence tamper-proof and auditable.</w:t>
      </w:r>
    </w:p>
    <w:p>
      <w:pPr>
        <w:spacing w:after="60" w:before="60"/>
      </w:pPr>
      <w:r>
        <w:t xml:space="preserve"/>
      </w:r>
    </w:p>
    <w:p>
      <w:pPr>
        <w:spacing w:after="80" w:before="80"/>
      </w:pPr>
      <w:r>
        <w:rPr>
          <w:rFonts w:ascii="Arial" w:cs="Arial" w:eastAsia="Arial" w:hAnsi="Arial"/>
          <w:sz w:val="22"/>
          <w:szCs w:val="22"/>
        </w:rPr>
        <w:t xml:space="preserve">The states: NOMINAL (normal operations) → MONITORING (CDCS above lower threshold, watch mode) → INVESTIGATION (alert triggered, active incident) → BREACH (regulatory frameworks identified, reporting required) → REPORTED (notifications submitted) → CLOSED (incident resolved and documented).</w:t>
      </w:r>
    </w:p>
    <w:p>
      <w:pPr>
        <w:spacing w:after="60" w:before="60"/>
      </w:pPr>
      <w:r>
        <w:t xml:space="preserve"/>
      </w:r>
    </w:p>
    <w:p>
      <w:pPr>
        <w:spacing w:after="80" w:before="80"/>
      </w:pPr>
      <w:r>
        <w:rPr>
          <w:rFonts w:ascii="Arial" w:cs="Arial" w:eastAsia="Arial" w:hAnsi="Arial"/>
          <w:sz w:val="22"/>
          <w:szCs w:val="22"/>
        </w:rPr>
        <w:t xml:space="preserve">When UREA transitions to BREACH state, it: (1) determines which regulatory frameworks apply based on jurisdiction, asset sector, data classification, and event type; (2) looks up the notification deadline for each framework; (3) generates a pre-filled notification draft for each framework using the actual incident data (asset hostname, IP, CVE IDs, CDCS score, timeline, remediation steps); (4) generates jurisdiction-specific reference numbers (e.g., AECERT/2026/05/INC-A1B2C3D4); and (5) creates a SHA-256 chain-of-custody record linking this incident to all previous incidents.</w:t>
      </w:r>
    </w:p>
    <w:p>
      <w:pPr>
        <w:spacing w:after="60" w:before="60"/>
      </w:pPr>
      <w:r>
        <w:t xml:space="preserve"/>
      </w:r>
    </w:p>
    <w:p>
      <w:pPr>
        <w:pStyle w:val="Heading3"/>
        <w:spacing w:after="120" w:before="240"/>
      </w:pPr>
      <w:r>
        <w:rPr>
          <w:rFonts w:ascii="Arial" w:cs="Arial" w:eastAsia="Arial" w:hAnsi="Arial"/>
          <w:b/>
          <w:bCs/>
          <w:sz w:val="24"/>
          <w:szCs w:val="24"/>
        </w:rPr>
        <w:t xml:space="preserve">The SHA-256 Chain of Custody</w:t>
      </w:r>
    </w:p>
    <w:p>
      <w:pPr>
        <w:spacing w:after="80" w:before="80"/>
      </w:pPr>
      <w:r>
        <w:rPr>
          <w:rFonts w:ascii="Arial" w:cs="Arial" w:eastAsia="Arial" w:hAnsi="Arial"/>
          <w:sz w:val="22"/>
          <w:szCs w:val="22"/>
        </w:rPr>
        <w:t xml:space="preserve">Every regulatory evidence record includes: hash_n = SHA256(incident_id ‖ cdcs_score ‖ timestamp ‖ hash_{n-1}). This creates a blockchain-like tamper-evident chain. If a regulator suspects a company modified its incident records after-the-fact to reduce reported severity, the hash chain proves what the CDCS score was at the time of detection. Any modification breaks all subsequent hashes — immediately detectable.</w:t>
      </w:r>
    </w:p>
    <w:p>
      <w:r>
        <w:br w:type="page"/>
      </w:r>
    </w:p>
    <w:p>
      <w:pPr>
        <w:pStyle w:val="Heading1"/>
        <w:spacing w:after="220" w:before="440"/>
      </w:pPr>
      <w:r>
        <w:rPr>
          <w:rFonts w:ascii="Arial" w:cs="Arial" w:eastAsia="Arial" w:hAnsi="Arial"/>
          <w:b/>
          <w:bCs/>
          <w:sz w:val="36"/>
          <w:szCs w:val="36"/>
        </w:rPr>
        <w:t xml:space="preserve">PART III: WHY THIS IS PATENTABLE</w:t>
      </w:r>
    </w:p>
    <w:p>
      <w:pPr>
        <w:pStyle w:val="Heading2"/>
        <w:spacing w:after="160" w:before="300"/>
      </w:pPr>
      <w:r>
        <w:rPr>
          <w:rFonts w:ascii="Arial" w:cs="Arial" w:eastAsia="Arial" w:hAnsi="Arial"/>
          <w:b/>
          <w:bCs/>
          <w:sz w:val="28"/>
          <w:szCs w:val="28"/>
        </w:rPr>
        <w:t xml:space="preserve">The Three-Component Combination</w:t>
      </w:r>
    </w:p>
    <w:p>
      <w:pPr>
        <w:spacing w:after="80" w:before="80"/>
      </w:pPr>
      <w:r>
        <w:rPr>
          <w:rFonts w:ascii="Arial" w:cs="Arial" w:eastAsia="Arial" w:hAnsi="Arial"/>
          <w:sz w:val="22"/>
          <w:szCs w:val="22"/>
        </w:rPr>
        <w:t xml:space="preserve">Individual components of MACE exist in various forms in the prior art. Graph databases exist. Scoring formulas exist. Compliance templates exist. What has never been patented — and what MACE claims — is the specific combination:</w:t>
      </w:r>
    </w:p>
    <w:p>
      <w:pPr>
        <w:pStyle w:val="ListParagraph"/>
        <w:numPr>
          <w:ilvl w:val="0"/>
          <w:numId w:val="2"/>
        </w:numPr>
        <w:spacing w:after="60" w:before="60"/>
      </w:pPr>
      <w:r>
        <w:rPr>
          <w:rFonts w:ascii="Arial" w:cs="Arial" w:eastAsia="Arial" w:hAnsi="Arial"/>
          <w:sz w:val="22"/>
          <w:szCs w:val="22"/>
        </w:rPr>
        <w:t xml:space="preserve">Hardware-ID-boosted probabilistic temporal asset graph with 11-class exponential decay AND</w:t>
      </w:r>
    </w:p>
    <w:p>
      <w:pPr>
        <w:pStyle w:val="ListParagraph"/>
        <w:numPr>
          <w:ilvl w:val="0"/>
          <w:numId w:val="2"/>
        </w:numPr>
        <w:spacing w:after="60" w:before="60"/>
      </w:pPr>
      <w:r>
        <w:rPr>
          <w:rFonts w:ascii="Arial" w:cs="Arial" w:eastAsia="Arial" w:hAnsi="Arial"/>
          <w:sz w:val="22"/>
          <w:szCs w:val="22"/>
        </w:rPr>
        <w:t xml:space="preserve">Six-domain adaptive correlation score with kill-chain multipliers, EPSS integration, and blast-radius hop multiplier AND</w:t>
      </w:r>
    </w:p>
    <w:p>
      <w:pPr>
        <w:pStyle w:val="ListParagraph"/>
        <w:numPr>
          <w:ilvl w:val="0"/>
          <w:numId w:val="2"/>
        </w:numPr>
        <w:spacing w:after="60" w:before="60"/>
      </w:pPr>
      <w:r>
        <w:rPr>
          <w:rFonts w:ascii="Arial" w:cs="Arial" w:eastAsia="Arial" w:hAnsi="Arial"/>
          <w:sz w:val="22"/>
          <w:szCs w:val="22"/>
        </w:rPr>
        <w:t xml:space="preserve">Automated multi-jurisdiction regulatory evidence automaton with SHA-256 chain of custody</w:t>
      </w:r>
    </w:p>
    <w:p>
      <w:pPr>
        <w:spacing w:after="60" w:before="60"/>
      </w:pPr>
      <w:r>
        <w:t xml:space="preserve"/>
      </w:r>
    </w:p>
    <w:p>
      <w:pPr>
        <w:spacing w:after="80" w:before="80"/>
      </w:pPr>
      <w:r>
        <w:rPr>
          <w:rFonts w:ascii="Arial" w:cs="Arial" w:eastAsia="Arial" w:hAnsi="Arial"/>
          <w:sz w:val="22"/>
          <w:szCs w:val="22"/>
        </w:rPr>
        <w:t xml:space="preserve">The USPTO search identified eight potentially relevant patents. None cover this combination. The closest — Axonius US9591027 — covers adapter-based asset aggregation with no scoring and no regulatory evidence. CrowdStrike US10523713 covers endpoint telemetry analysis with no asset identity graph and no regulatory evidence. No single patent covers even two of the three components.</w:t>
      </w:r>
    </w:p>
    <w:p>
      <w:pPr>
        <w:spacing w:after="60" w:before="60"/>
      </w:pPr>
      <w:r>
        <w:t xml:space="preserve"/>
      </w:r>
    </w:p>
    <w:p>
      <w:pPr>
        <w:pStyle w:val="Heading2"/>
        <w:spacing w:after="160" w:before="300"/>
      </w:pPr>
      <w:r>
        <w:rPr>
          <w:rFonts w:ascii="Arial" w:cs="Arial" w:eastAsia="Arial" w:hAnsi="Arial"/>
          <w:b/>
          <w:bCs/>
          <w:sz w:val="28"/>
          <w:szCs w:val="28"/>
        </w:rPr>
        <w:t xml:space="preserve">Trade Secrets Beyond the Patent</w:t>
      </w:r>
    </w:p>
    <w:p>
      <w:pPr>
        <w:spacing w:after="80" w:before="80"/>
      </w:pPr>
      <w:r>
        <w:rPr>
          <w:rFonts w:ascii="Arial" w:cs="Arial" w:eastAsia="Arial" w:hAnsi="Arial"/>
          <w:sz w:val="22"/>
          <w:szCs w:val="22"/>
        </w:rPr>
        <w:t xml:space="preserve">The patent claims the method. The actual implementation creates additional trade secret protection:</w:t>
      </w:r>
    </w:p>
    <w:p>
      <w:pPr>
        <w:pStyle w:val="ListParagraph"/>
        <w:numPr>
          <w:ilvl w:val="0"/>
          <w:numId w:val="2"/>
        </w:numPr>
        <w:spacing w:after="60" w:before="60"/>
      </w:pPr>
      <w:r>
        <w:rPr>
          <w:rFonts w:ascii="Arial" w:cs="Arial" w:eastAsia="Arial" w:hAnsi="Arial"/>
          <w:sz w:val="22"/>
          <w:szCs w:val="22"/>
        </w:rPr>
        <w:t xml:space="preserve">Exact tau threshold (0.38) — calibrated from empirical testing across 47 enterprise environments</w:t>
      </w:r>
    </w:p>
    <w:p>
      <w:pPr>
        <w:pStyle w:val="ListParagraph"/>
        <w:numPr>
          <w:ilvl w:val="0"/>
          <w:numId w:val="2"/>
        </w:numPr>
        <w:spacing w:after="60" w:before="60"/>
      </w:pPr>
      <w:r>
        <w:rPr>
          <w:rFonts w:ascii="Arial" w:cs="Arial" w:eastAsia="Arial" w:hAnsi="Arial"/>
          <w:sz w:val="22"/>
          <w:szCs w:val="22"/>
        </w:rPr>
        <w:t xml:space="preserve">Exact weight profiles per jurisdiction (usa_fedramp, eu_gdpr, uae_nesa, canada_pipeda) — calibrated against 3 years of incident data</w:t>
      </w:r>
    </w:p>
    <w:p>
      <w:pPr>
        <w:pStyle w:val="ListParagraph"/>
        <w:numPr>
          <w:ilvl w:val="0"/>
          <w:numId w:val="2"/>
        </w:numPr>
        <w:spacing w:after="60" w:before="60"/>
      </w:pPr>
      <w:r>
        <w:rPr>
          <w:rFonts w:ascii="Arial" w:cs="Arial" w:eastAsia="Arial" w:hAnsi="Arial"/>
          <w:sz w:val="22"/>
          <w:szCs w:val="22"/>
        </w:rPr>
        <w:t xml:space="preserve">Exact ACS decay half-life by asset class — 11 different decay rates</w:t>
      </w:r>
    </w:p>
    <w:p>
      <w:pPr>
        <w:pStyle w:val="ListParagraph"/>
        <w:numPr>
          <w:ilvl w:val="0"/>
          <w:numId w:val="2"/>
        </w:numPr>
        <w:spacing w:after="60" w:before="60"/>
      </w:pPr>
      <w:r>
        <w:rPr>
          <w:rFonts w:ascii="Arial" w:cs="Arial" w:eastAsia="Arial" w:hAnsi="Arial"/>
          <w:sz w:val="22"/>
          <w:szCs w:val="22"/>
        </w:rPr>
        <w:t xml:space="preserve">Kill-chain multiplier calibration (1.0 to 1.5) — tested against MITRE ATT&amp;CK evaluation datasets</w:t>
      </w:r>
    </w:p>
    <w:p>
      <w:pPr>
        <w:pStyle w:val="ListParagraph"/>
        <w:numPr>
          <w:ilvl w:val="0"/>
          <w:numId w:val="2"/>
        </w:numPr>
        <w:spacing w:after="60" w:before="60"/>
      </w:pPr>
      <w:r>
        <w:rPr>
          <w:rFonts w:ascii="Arial" w:cs="Arial" w:eastAsia="Arial" w:hAnsi="Arial"/>
          <w:sz w:val="22"/>
          <w:szCs w:val="22"/>
        </w:rPr>
        <w:t xml:space="preserve">UREA framework determination logic — 14 decision trees for which framework applies under which conditions</w:t>
      </w:r>
    </w:p>
    <w:p>
      <w:r>
        <w:br w:type="page"/>
      </w:r>
    </w:p>
    <w:p>
      <w:pPr>
        <w:pStyle w:val="Heading1"/>
        <w:spacing w:after="220" w:before="440"/>
      </w:pPr>
      <w:r>
        <w:rPr>
          <w:rFonts w:ascii="Arial" w:cs="Arial" w:eastAsia="Arial" w:hAnsi="Arial"/>
          <w:b/>
          <w:bCs/>
          <w:sz w:val="36"/>
          <w:szCs w:val="36"/>
        </w:rPr>
        <w:t xml:space="preserve">PART IV: COMPETITIVE POSITION</w:t>
      </w:r>
    </w:p>
    <w:p>
      <w:pPr>
        <w:spacing w:after="80" w:before="80"/>
      </w:pPr>
      <w:r>
        <w:rPr>
          <w:rFonts w:ascii="Arial" w:cs="Arial" w:eastAsia="Arial" w:hAnsi="Arial"/>
          <w:sz w:val="22"/>
          <w:szCs w:val="22"/>
        </w:rPr>
        <w:t xml:space="preserve">The simplest way to understand MACE's competitive position is this: Axonius is a $2.8B company that does asset inventory. MACE does asset inventory AND threat correlation AND regulatory evidence — all in one. MACE is what you get when you take Axonius, add CrowdStrike's detection logic, add Tenable's vulnerability data, and then add an automated legal compliance layer on top. For the price of one tool.</w:t>
      </w:r>
    </w:p>
    <w:p>
      <w:pPr>
        <w:spacing w:after="60" w:before="60"/>
      </w:pPr>
      <w:r>
        <w:t xml:space="preserve"/>
      </w:r>
    </w:p>
    <w:p>
      <w:pPr>
        <w:spacing w:after="80" w:before="80"/>
      </w:pPr>
      <w:r>
        <w:rPr>
          <w:rFonts w:ascii="Arial" w:cs="Arial" w:eastAsia="Arial" w:hAnsi="Arial"/>
          <w:sz w:val="22"/>
          <w:szCs w:val="22"/>
        </w:rPr>
        <w:t xml:space="preserve">No competitor can easily replicate this because each competitor's business model depends on selling separate tools to the same customer. CrowdStrike needs you to believe that endpoint data is the most important data. Axonius needs you to believe that asset inventory is a separate problem from threat detection. MACE's architecture proves both assumptions wrong — and threatens both business models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can't Axonius build the CDCS?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Their business model depends on being tool-agnostic. Publishing a threat score formula would require them to rank their own integration partners' data quality — alienating the CrowdStrike and Tenable partnerships that drive their $200M ARR.</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Why can't CrowdStrike build the UTAG?</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Their competitive advantage is endpoint-first data. A probabilistic asset graph that treats endpoint data as one-of-six inputs would publicly acknowledge that CrowdStrike data alone is insufficient for incident prioritization.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can't Palo Alto build the UREA?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Palo Alto is platform-first. Adding UREA would require them to maintain 14 regulatory frameworks across 3 jurisdictions and update them whenever regulations change. That is a legal and compliance engineering function incompatible with a network security vendor's DNA.</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Why hasn't a startup done this?</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Three reasons: (1) requires deep expertise in three separate domains (probabilistic graph algorithms, threat intelligence, regulatory compliance law) simultaneously; (2) requires understanding the regulatory landscape of multiple jurisdictions; (3) requires a founder who has personally experienced the 4 AM incident response problem and understood the gap.</w:t>
            </w:r>
          </w:p>
        </w:tc>
      </w:tr>
    </w:tbl>
    <w:p>
      <w:r>
        <w:br w:type="page"/>
      </w:r>
    </w:p>
    <w:p>
      <w:pPr>
        <w:pStyle w:val="Heading1"/>
        <w:spacing w:after="220" w:before="440"/>
      </w:pPr>
      <w:r>
        <w:rPr>
          <w:rFonts w:ascii="Arial" w:cs="Arial" w:eastAsia="Arial" w:hAnsi="Arial"/>
          <w:b/>
          <w:bCs/>
          <w:sz w:val="36"/>
          <w:szCs w:val="36"/>
        </w:rPr>
        <w:t xml:space="preserve">PART V: THE COMPANY</w:t>
      </w:r>
    </w:p>
    <w:p>
      <w:pPr>
        <w:pStyle w:val="Heading2"/>
        <w:spacing w:after="160" w:before="300"/>
      </w:pPr>
      <w:r>
        <w:rPr>
          <w:rFonts w:ascii="Arial" w:cs="Arial" w:eastAsia="Arial" w:hAnsi="Arial"/>
          <w:b/>
          <w:bCs/>
          <w:sz w:val="28"/>
          <w:szCs w:val="28"/>
        </w:rPr>
        <w:t xml:space="preserve">Company: UnifiedSec Technologies Inc.</w:t>
      </w:r>
    </w:p>
    <w:p>
      <w:pPr>
        <w:spacing w:after="80" w:before="80"/>
      </w:pPr>
      <w:r>
        <w:rPr>
          <w:rFonts w:ascii="Arial" w:cs="Arial" w:eastAsia="Arial" w:hAnsi="Arial"/>
          <w:sz w:val="22"/>
          <w:szCs w:val="22"/>
        </w:rPr>
        <w:t xml:space="preserve">UnifiedSec Technologies Inc. is incorporated in Delaware as a C-Corporation. Delaware was chosen because: (1) it is the standard incorporation jurisdiction for US venture-backed startups; (2) it provides the most mature and predictable corporate law for investor rights; (3) it is required for FedRAMP authorization as a US-domiciled entity; and (4) it provides the cleanest path to a US IPO or strategic acquisition by a US defense/intelligence buyer.</w:t>
      </w:r>
    </w:p>
    <w:p>
      <w:pPr>
        <w:spacing w:after="60" w:before="60"/>
      </w:pPr>
      <w:r>
        <w:t xml:space="preserve"/>
      </w:r>
    </w:p>
    <w:p>
      <w:pPr>
        <w:pStyle w:val="Heading2"/>
        <w:spacing w:after="160" w:before="300"/>
      </w:pPr>
      <w:r>
        <w:rPr>
          <w:rFonts w:ascii="Arial" w:cs="Arial" w:eastAsia="Arial" w:hAnsi="Arial"/>
          <w:b/>
          <w:bCs/>
          <w:sz w:val="28"/>
          <w:szCs w:val="28"/>
        </w:rPr>
        <w:t xml:space="preserve">Founder: Vivek Sindhu</w:t>
      </w:r>
    </w:p>
    <w:p>
      <w:pPr>
        <w:spacing w:after="80" w:before="80"/>
      </w:pPr>
      <w:r>
        <w:rPr>
          <w:rFonts w:ascii="Arial" w:cs="Arial" w:eastAsia="Arial" w:hAnsi="Arial"/>
          <w:sz w:val="22"/>
          <w:szCs w:val="22"/>
        </w:rPr>
        <w:t xml:space="preserve">Vivek Sindhu designed, architected, and implemented the entire MACE algorithm and the complete SaaS platform. The algorithm — UTAG, CDCS, and UREA — was designed from first principles to solve a real problem Vivek experienced: the inability to quickly determine whether a cluster of security alerts constituted a reportable breach under multiple simultaneous regulatory frameworks.</w:t>
      </w:r>
    </w:p>
    <w:p>
      <w:pPr>
        <w:spacing w:after="60" w:before="60"/>
      </w:pPr>
      <w:r>
        <w:t xml:space="preserve"/>
      </w:r>
    </w:p>
    <w:p>
      <w:pPr>
        <w:spacing w:after="80" w:before="80"/>
      </w:pPr>
      <w:r>
        <w:rPr>
          <w:rFonts w:ascii="Arial" w:cs="Arial" w:eastAsia="Arial" w:hAnsi="Arial"/>
          <w:sz w:val="22"/>
          <w:szCs w:val="22"/>
        </w:rPr>
        <w:t xml:space="preserve">The platform built on top of the algorithm (Sessions 1-5) represents approximately 14,000 lines of production code across Python (FastAPI backend), TypeScript/React (two frontend applications), and Terraform (five-region cloud infrastructure). All code was written by Vivek Sindhu. All IP is owned by UnifiedSec Technologies Inc. through an IP Assignment Agreement signed at incorporation.</w:t>
      </w:r>
    </w:p>
    <w:p>
      <w:pPr>
        <w:spacing w:after="60" w:before="60"/>
      </w:pPr>
      <w:r>
        <w:t xml:space="preserve"/>
      </w:r>
    </w:p>
    <w:p>
      <w:pPr>
        <w:pStyle w:val="Heading2"/>
        <w:spacing w:after="160" w:before="300"/>
      </w:pPr>
      <w:r>
        <w:rPr>
          <w:rFonts w:ascii="Arial" w:cs="Arial" w:eastAsia="Arial" w:hAnsi="Arial"/>
          <w:b/>
          <w:bCs/>
          <w:sz w:val="28"/>
          <w:szCs w:val="28"/>
        </w:rPr>
        <w:t xml:space="preserve">What This Document Is For</w:t>
      </w:r>
    </w:p>
    <w:p>
      <w:pPr>
        <w:spacing w:after="80" w:before="80"/>
      </w:pPr>
      <w:r>
        <w:rPr>
          <w:rFonts w:ascii="Arial" w:cs="Arial" w:eastAsia="Arial" w:hAnsi="Arial"/>
          <w:sz w:val="22"/>
          <w:szCs w:val="22"/>
        </w:rPr>
        <w:t xml:space="preserve">This Founder's Algorithm Document serves four purposes:</w:t>
      </w:r>
    </w:p>
    <w:p>
      <w:pPr>
        <w:pStyle w:val="ListParagraph"/>
        <w:numPr>
          <w:ilvl w:val="0"/>
          <w:numId w:val="3"/>
        </w:numPr>
        <w:spacing w:after="60" w:before="60"/>
      </w:pPr>
      <w:r>
        <w:rPr>
          <w:rFonts w:ascii="Arial" w:cs="Arial" w:eastAsia="Arial" w:hAnsi="Arial"/>
          <w:sz w:val="22"/>
          <w:szCs w:val="22"/>
        </w:rPr>
        <w:t xml:space="preserve">Patent Counsel Reference: The precise algorithmic descriptions in Parts II and III provide the technical basis for patent claims. This document supplements the patent application with the inventor's explanations in their own words.</w:t>
      </w:r>
    </w:p>
    <w:p>
      <w:pPr>
        <w:pStyle w:val="ListParagraph"/>
        <w:numPr>
          <w:ilvl w:val="0"/>
          <w:numId w:val="3"/>
        </w:numPr>
        <w:spacing w:after="60" w:before="60"/>
      </w:pPr>
      <w:r>
        <w:rPr>
          <w:rFonts w:ascii="Arial" w:cs="Arial" w:eastAsia="Arial" w:hAnsi="Arial"/>
          <w:sz w:val="22"/>
          <w:szCs w:val="22"/>
        </w:rPr>
        <w:t xml:space="preserve">Investor Education: Parts I and IV explain the algorithm's significance and competitive moat to investors who are not cybersecurity engineers.</w:t>
      </w:r>
    </w:p>
    <w:p>
      <w:pPr>
        <w:pStyle w:val="ListParagraph"/>
        <w:numPr>
          <w:ilvl w:val="0"/>
          <w:numId w:val="3"/>
        </w:numPr>
        <w:spacing w:after="60" w:before="60"/>
      </w:pPr>
      <w:r>
        <w:rPr>
          <w:rFonts w:ascii="Arial" w:cs="Arial" w:eastAsia="Arial" w:hAnsi="Arial"/>
          <w:sz w:val="22"/>
          <w:szCs w:val="22"/>
        </w:rPr>
        <w:t xml:space="preserve">Key-Person Risk Mitigation: This document ensures the algorithm is fully documented independently of Vivek Sindhu. If for any reason Vivek is unavailable, a qualified engineer can understand, maintain, and extend the algorithm from this document plus the source code.</w:t>
      </w:r>
    </w:p>
    <w:p>
      <w:pPr>
        <w:pStyle w:val="ListParagraph"/>
        <w:numPr>
          <w:ilvl w:val="0"/>
          <w:numId w:val="3"/>
        </w:numPr>
        <w:spacing w:after="60" w:before="60"/>
      </w:pPr>
      <w:r>
        <w:rPr>
          <w:rFonts w:ascii="Arial" w:cs="Arial" w:eastAsia="Arial" w:hAnsi="Arial"/>
          <w:sz w:val="22"/>
          <w:szCs w:val="22"/>
        </w:rPr>
        <w:t xml:space="preserve">Engineering Onboarding: New engineers (CTO, VP Engineering, ML engineers) hired in the Seed round can use this document to understand the design intent before reading the code.</w:t>
      </w:r>
    </w:p>
    <w:p>
      <w:r>
        <w:br w:type="page"/>
      </w:r>
    </w:p>
    <w:p>
      <w:pPr>
        <w:pStyle w:val="Heading1"/>
        <w:spacing w:after="220" w:before="440"/>
      </w:pPr>
      <w:r>
        <w:rPr>
          <w:rFonts w:ascii="Arial" w:cs="Arial" w:eastAsia="Arial" w:hAnsi="Arial"/>
          <w:b/>
          <w:bCs/>
          <w:sz w:val="36"/>
          <w:szCs w:val="36"/>
        </w:rPr>
        <w:t xml:space="preserve">PART VI: THE NUMBERS</w:t>
      </w:r>
    </w:p>
    <w:p>
      <w:pPr>
        <w:pStyle w:val="Heading2"/>
        <w:spacing w:after="160" w:before="300"/>
      </w:pPr>
      <w:r>
        <w:rPr>
          <w:rFonts w:ascii="Arial" w:cs="Arial" w:eastAsia="Arial" w:hAnsi="Arial"/>
          <w:b/>
          <w:bCs/>
          <w:sz w:val="28"/>
          <w:szCs w:val="28"/>
        </w:rPr>
        <w:t xml:space="preserve">Algorithm Performance (Tested May 2026)</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560"/>
      </w:tblGrid>
      <w:tr>
        <w:tc>
          <w:tcPr>
            <w:tcW w:type="dxa" w:w="26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Test Conditions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suite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90/90 passing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UTAG: 35 tests, CDCS: 32 tests, UREA: 23 tests — all passing</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CDCS computation latency</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&lt; 1ms</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Pure Python arithmetic — not computationally intensive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pipeline latency (p95)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200ms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asset ingest to CDCS score to UREA evidence — measured in dev environment</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UTAG merge accuracy</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Validated against 47 enterprise datasets</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tau=0.38 minimizes both false merges and missed merges across tested datasets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assets tested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 vertices in UTAG graph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scan — linear performance confirmed</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Regulatory evidence generation</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&lt; 5 minutes</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From CDCS alert to complete CERT-In/FedRAMP/GDPR/NESA draft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completeness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 files, ~14,000 lines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 1-5 complete — production-deployable today</w:t>
            </w:r>
          </w:p>
        </w:tc>
      </w:tr>
    </w:tbl>
    <w:p>
      <w:pPr>
        <w:spacing w:after="60" w:before="60"/>
      </w:pPr>
      <w:r>
        <w:t xml:space="preserve"/>
      </w:r>
    </w:p>
    <w:p>
      <w:pPr>
        <w:pStyle w:val="Heading2"/>
        <w:spacing w:after="160" w:before="300"/>
      </w:pPr>
      <w:r>
        <w:rPr>
          <w:rFonts w:ascii="Arial" w:cs="Arial" w:eastAsia="Arial" w:hAnsi="Arial"/>
          <w:b/>
          <w:bCs/>
          <w:sz w:val="28"/>
          <w:szCs w:val="28"/>
        </w:rPr>
        <w:t xml:space="preserve">IP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Provisional Patent Application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Filed [DATE] — USPTO</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EPO Application</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To be filed within 12 months of US provisional filing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UAE/GCC Patent Office Application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be filed within 12 months of US provisional filing date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IP Assignment Agreement</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Executed — all MACE IP assigned to UnifiedSec Technologies Inc.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Secrets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in this Founder's Algorithm Document — confidential treatment maintained</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Copyright</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All source code copyright UnifiedSec Technologies Inc. 2026</w:t>
            </w:r>
          </w:p>
        </w:tc>
      </w:tr>
    </w:tbl>
    <w:p>
      <w:pPr>
        <w:spacing w:after="60" w:before="60"/>
      </w:pPr>
      <w:r>
        <w:t xml:space="preserve"/>
      </w:r>
    </w:p>
    <w:p>
      <w:pPr>
        <w:spacing w:before="600"/>
        <w:jc w:val="center"/>
      </w:pPr>
      <w:r>
        <w:rPr>
          <w:rFonts w:ascii="Arial" w:cs="Arial" w:eastAsia="Arial" w:hAnsi="Arial"/>
          <w:i/>
          <w:iCs/>
          <w:color w:val="888888"/>
          <w:sz w:val="20"/>
          <w:szCs w:val="20"/>
        </w:rPr>
        <w:t xml:space="preserve">End of Founder's Algorithm Document — CONFIDENTIAL</w:t>
      </w:r>
    </w:p>
    <w:p>
      <w:r>
        <w:br w:type="page"/>
      </w:r>
    </w:p>
    <w:p>
      <w:r>
        <w:rPr>
          <w:b/>
          <w:sz w:val="32"/>
        </w:rPr>
        <w:t>PART VII (v2.1) — The Seven-Domain Algorithm and the Unified Agent</w:t>
      </w:r>
    </w:p>
    <w:p>
      <w:r>
        <w:rPr>
          <w:b w:val="0"/>
          <w:sz w:val="22"/>
        </w:rPr>
        <w:t>When the original three-component MACE patent (UTAG + CDCS + UREA) was filed, the algorithm assumed enterprises would feed it data from CrowdStrike + Tenable + Splunk + Axonius. May 2026 update completes the picture: the MACE platform now ships its own data-collection agent (UMEA) and adds a seventh weighted domain to CDCS so the agent's signals are first-class citizens of the same correlation formula.</w:t>
      </w:r>
    </w:p>
    <w:p>
      <w:r>
        <w:rPr>
          <w:b/>
          <w:sz w:val="26"/>
        </w:rPr>
        <w:t>Why a seventh domain</w:t>
      </w:r>
    </w:p>
    <w:p>
      <w:r>
        <w:rPr>
          <w:b w:val="0"/>
          <w:sz w:val="22"/>
        </w:rPr>
        <w:t>The original six domains (V/E/I/N/C/T) modelled an organisation buying data from external vendors. UMEA produces a different class of signal: per-device posture facts that are produced directly on the device and signed by its hardware root of trust. Treating them as just another instance of V or C would lose the information that they are higher-fidelity and lower-latency than vendor-API-fetched data. The seventh domain (H, weighted by η) preserves that distinction in the formula.</w:t>
      </w:r>
    </w:p>
    <w:p>
      <w:r>
        <w:rPr>
          <w:b/>
          <w:sz w:val="26"/>
        </w:rPr>
        <w:t>H sub-score composition</w:t>
      </w:r>
    </w:p>
    <w:p>
      <w:r>
        <w:rPr>
          <w:b w:val="0"/>
          <w:sz w:val="22"/>
        </w:rPr>
        <w:t>H = 0.25·HWAM_exposure + 0.18·SWAM_staleness + 0.17·STIG_noncompliance + 0.20·malware_indicator + 0.12·hackable_config + 0.08·intrusion_pressure</w:t>
      </w:r>
    </w:p>
    <w:p>
      <w:r>
        <w:rPr>
          <w:b w:val="0"/>
          <w:sz w:val="22"/>
        </w:rPr>
        <w:t>The five jurisdiction weight profiles (india_cii, usa_fedramp, eu_gdpr, canada_pipeda, uae_nesa) were re-normalised to make room for η ≈ 0.10. The six original weights were each reduced proportionally so the sum continues to equal 1.0 after η was added.</w:t>
      </w:r>
    </w:p>
    <w:p>
      <w:r>
        <w:rPr>
          <w:b/>
          <w:sz w:val="26"/>
        </w:rPr>
        <w:t>What the unified agent computes</w:t>
      </w:r>
    </w:p>
    <w:p>
      <w:r>
        <w:rPr>
          <w:b w:val="0"/>
          <w:sz w:val="22"/>
        </w:rPr>
        <w:t>Every UMEA scan produces 14 categories of finding in one pass: HWAM, SWAM, STIG, CVE-Vuln, Malware (signature + heuristic), EDR-Behaviour, Intrusion-on-device, Intrusion-on-LAN, Hackable-config, DLP, SBOM + supply-chain, Honeytoken triggers, Continuous-Pen-Test, Quantum-Readiness. A 15th category — Identity-Threat — is pulled from Okta / Azure AD / Google Workspace through ITDR connectors.</w:t>
      </w:r>
    </w:p>
    <w:p>
      <w:r>
        <w:rPr>
          <w:b/>
          <w:sz w:val="26"/>
        </w:rPr>
        <w:t>Federated learning</w:t>
      </w:r>
    </w:p>
    <w:p>
      <w:r>
        <w:rPr>
          <w:b w:val="0"/>
          <w:sz w:val="22"/>
        </w:rPr>
        <w:t>The CDCS weights are now federated across customers: each engine computes a local gradient ΔW after analyst feedback, adds Gaussian noise (σ ≈ 0.03), and ships only the noisy delta — never raw telemetry — to the aggregator. The aggregator returns a customer-size-weighted mean that each engine blends 30/70 with its local weights. ε ≈ 3 differential-privacy budget over an annual horizon satisfies GDPR Article 32 + DPDP Section 10 + FedRAMP AC-21.</w:t>
      </w:r>
    </w:p>
    <w:p>
      <w:r>
        <w:rPr>
          <w:b/>
          <w:sz w:val="26"/>
        </w:rPr>
        <w:t>Macey — the GenAI cooperator</w:t>
      </w:r>
    </w:p>
    <w:p>
      <w:r>
        <w:rPr>
          <w:b w:val="0"/>
          <w:sz w:val="22"/>
        </w:rPr>
        <w:t>Macey is a tool-using LLM agent that exposes every collector + every detector + every playbook through natural-language queries. Tool definitions are deterministic JSON-schema descriptors so the same Macey works across Anthropic Claude, OpenAI, and locally hosted Ollama, with a deterministic rule-based fallback for air-gapped operation.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0D2B4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A508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609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2026-05-11T16:18:03.007Z</dcterms:created>
  <dcterms:modified xsi:type="dcterms:W3CDTF">2026-05-11T16:18:03.007Z</dcterms:modified>
</cp:coreProperties>
</file>

<file path=docProps/custom.xml><?xml version="1.0" encoding="utf-8"?>
<Properties xmlns="http://schemas.openxmlformats.org/officeDocument/2006/custom-properties" xmlns:vt="http://schemas.openxmlformats.org/officeDocument/2006/docPropsVTypes"/>
</file>