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sz w:val="40"/>
          <w:szCs w:val="40"/>
        </w:rPr>
        <w:t xml:space="preserve">UnifiedSec / MACE — Founder Action Guide</w:t>
      </w:r>
    </w:p>
    <w:p>
      <w:pPr>
        <w:spacing w:after="400"/>
        <w:jc w:val="center"/>
      </w:pPr>
      <w:r>
        <w:rPr>
          <w:i/>
          <w:iCs/>
          <w:sz w:val="22"/>
          <w:szCs w:val="22"/>
        </w:rPr>
        <w:t xml:space="preserve">Part A: Filing the Patent (Getting to “Patent Pending”) · Part B: Securing Grants and Funding · June 2026</w:t>
      </w:r>
    </w:p>
    <w:p>
      <w:pPr>
        <w:spacing w:after="120"/>
      </w:pPr>
      <w:r>
        <w:t xml:space="preserve">This guide is practical and specific to MACE's current position: Delaware C-Corp (to be finalized), single founder, working platform, provisional patent draft v3 complete with figures. It is informational, not legal or financial advice — confirm filing steps with a registered patent attorney and program eligibility with each agency.</w:t>
      </w:r>
    </w:p>
    <w:p>
      <w:pPr>
        <w:pStyle w:val="Heading1"/>
      </w:pPr>
      <w:r>
        <w:t xml:space="preserve">PART A — How to File the Provisional Patent, Step by Step</w:t>
      </w:r>
    </w:p>
    <w:p>
      <w:pPr>
        <w:spacing w:after="120"/>
      </w:pPr>
      <w:r>
        <w:t xml:space="preserve">“Patent pending” status begins the moment the USPTO accepts your provisional filing and issues an application number — typically the same day you file electronically. Here is the complete path:</w:t>
      </w:r>
    </w:p>
    <w:p>
      <w:pPr>
        <w:pStyle w:val="Heading2"/>
      </w:pPr>
      <w:r>
        <w:t xml:space="preserve">A.1 Before filing (1-2 weeks)</w:t>
      </w:r>
    </w:p>
    <w:p>
      <w:pPr>
        <w:pStyle w:val="ListParagraph"/>
        <w:numPr>
          <w:ilvl w:val="0"/>
          <w:numId w:val="2"/>
        </w:numPr>
        <w:spacing w:after="100"/>
      </w:pPr>
      <w:r>
        <w:t xml:space="preserve">Do not publicly disclose new details before filing. The US gives a 12-month grace period, but the EU and most of the world require absolute novelty — public disclosure before the priority date can destroy EPO/GCC rights. Demos under NDA are fine.</w:t>
      </w:r>
    </w:p>
    <w:p>
      <w:pPr>
        <w:pStyle w:val="ListParagraph"/>
        <w:numPr>
          <w:ilvl w:val="0"/>
          <w:numId w:val="2"/>
        </w:numPr>
        <w:spacing w:after="100"/>
      </w:pPr>
      <w:r>
        <w:t xml:space="preserve">Decide the applicant. Recommended: UnifiedSec Technologies Inc. as applicant, Vivek Sindhu as inventor, with a signed IP Assignment Agreement from you to the company (record it with the USPTO after filing). If the company is not yet incorporated, you may file in your own name and assign later — but incorporating first is cleaner for investors.</w:t>
      </w:r>
    </w:p>
    <w:p>
      <w:pPr>
        <w:pStyle w:val="ListParagraph"/>
        <w:numPr>
          <w:ilvl w:val="0"/>
          <w:numId w:val="2"/>
        </w:numPr>
        <w:spacing w:after="100"/>
      </w:pPr>
      <w:r>
        <w:t xml:space="preserve">Determine your fee entity status. Small entity (under 500 employees, no large-entity license obligations): $130 provisional filing fee. Micro entity (small entity + fewer than 5 prior US applications + gross income below the USPTO threshold, roughly 3x median household income): $65. If rights are assigned to UnifiedSec, the company's status governs — almost certainly small entity at $130. Fees current per the USPTO schedule revised June 2026; re-check at uspto.gov/fees before paying.</w:t>
      </w:r>
    </w:p>
    <w:p>
      <w:pPr>
        <w:pStyle w:val="ListParagraph"/>
        <w:numPr>
          <w:ilvl w:val="0"/>
          <w:numId w:val="2"/>
        </w:numPr>
        <w:spacing w:after="100"/>
      </w:pPr>
      <w:r>
        <w:t xml:space="preserve">Have a registered patent attorney review the v3 draft (MACE_Patent_Application_v3_DRAFT.docx). Budget $2,000-8,000 for provisional review and filing. The v3 counsel-notes page lists exactly what to verify: the India filing question, independent-claim selection, and the §101 framing. You CAN self-file a provisional, but with 30 claims and planned PCT/EPO filings, counsel review is worth it.</w:t>
      </w:r>
    </w:p>
    <w:p>
      <w:pPr>
        <w:pStyle w:val="ListParagraph"/>
        <w:numPr>
          <w:ilvl w:val="0"/>
          <w:numId w:val="2"/>
        </w:numPr>
        <w:spacing w:after="100"/>
      </w:pPr>
      <w:r>
        <w:t xml:space="preserve">Resolve the India question first. Earlier documents referenced IN/2026/UNISEC/MACE-001. If a real India provisional exists in your name, counsel must coordinate priority claims and assignment before the US filing. If it never existed, confirm that in writing and keep every document consistent (the v3 documents already retract it).</w:t>
      </w:r>
    </w:p>
    <w:p>
      <w:pPr>
        <w:pStyle w:val="Heading2"/>
      </w:pPr>
      <w:r>
        <w:t xml:space="preserve">A.2 Filing day (2-3 hours)</w:t>
      </w:r>
    </w:p>
    <w:p>
      <w:pPr>
        <w:pStyle w:val="ListParagraph"/>
        <w:numPr>
          <w:ilvl w:val="0"/>
          <w:numId w:val="3"/>
        </w:numPr>
        <w:spacing w:after="100"/>
      </w:pPr>
      <w:r>
        <w:t xml:space="preserve">Create a USPTO.gov account and verify identity (ID.me verification can take a day — do it in advance). Then open Patent Center (patentcenter.uspto.gov).</w:t>
      </w:r>
    </w:p>
    <w:p>
      <w:pPr>
        <w:pStyle w:val="ListParagraph"/>
        <w:numPr>
          <w:ilvl w:val="0"/>
          <w:numId w:val="3"/>
        </w:numPr>
        <w:spacing w:after="100"/>
      </w:pPr>
      <w:r>
        <w:t xml:space="preserve">Prepare three PDFs: (1) the specification — abstract, background, summary, detailed description, and claims (claims are optional in a provisional but yours are an asset — include them); (2) the drawings — Figures 1-12, already attached in the v3 draft; (3) the cover sheet — USPTO form SB/16 (Provisional Application for Patent Cover Sheet) listing inventor, title, and correspondence address.</w:t>
      </w:r>
    </w:p>
    <w:p>
      <w:pPr>
        <w:pStyle w:val="ListParagraph"/>
        <w:numPr>
          <w:ilvl w:val="0"/>
          <w:numId w:val="3"/>
        </w:numPr>
        <w:spacing w:after="100"/>
      </w:pPr>
      <w:r>
        <w:t xml:space="preserve">In Patent Center choose “New submission → Utility — Provisional”, upload the PDFs, declare entity status, and pay the filing fee ($130 small / $65 micro) by card.</w:t>
      </w:r>
    </w:p>
    <w:p>
      <w:pPr>
        <w:pStyle w:val="ListParagraph"/>
        <w:numPr>
          <w:ilvl w:val="0"/>
          <w:numId w:val="3"/>
        </w:numPr>
        <w:spacing w:after="100"/>
      </w:pPr>
      <w:r>
        <w:t xml:space="preserve">Save the Acknowledgement Receipt. It shows your application number (63/XXX,XXX) and your priority date. From this moment you may lawfully mark MACE “Patent Pending” on the website, deck, and product.</w:t>
      </w:r>
    </w:p>
    <w:p>
      <w:pPr>
        <w:pStyle w:val="Heading2"/>
      </w:pPr>
      <w:r>
        <w:t xml:space="preserve">A.3 After filing (calendar these immediately)</w:t>
      </w:r>
    </w:p>
    <w:p>
      <w:pPr>
        <w:pStyle w:val="ListParagraph"/>
        <w:numPr>
          <w:ilvl w:val="0"/>
          <w:numId w:val="4"/>
        </w:numPr>
        <w:spacing w:after="100"/>
      </w:pPr>
      <w:r>
        <w:t xml:space="preserve">Record the IP assignment at the USPTO Assignment Recordation Branch (online, ~$0 for electronic recording).</w:t>
      </w:r>
    </w:p>
    <w:p>
      <w:pPr>
        <w:pStyle w:val="ListParagraph"/>
        <w:numPr>
          <w:ilvl w:val="0"/>
          <w:numId w:val="4"/>
        </w:numPr>
        <w:spacing w:after="100"/>
      </w:pPr>
      <w:r>
        <w:t xml:space="preserve">Check the filing receipt for a Foreign Filing License (routinely granted). You need it before filing abroad.</w:t>
      </w:r>
    </w:p>
    <w:p>
      <w:pPr>
        <w:pStyle w:val="ListParagraph"/>
        <w:numPr>
          <w:ilvl w:val="0"/>
          <w:numId w:val="4"/>
        </w:numPr>
        <w:spacing w:after="100"/>
      </w:pPr>
      <w:r>
        <w:t xml:space="preserve">Docket the 12-month deadline. Within 12 months of the provisional filing date you must file: the US non-provisional (claims benefit under 35 U.S.C. §119(e)) and the PCT application (preserves EPO, GCC/UAE, and ~150 other countries until 30/31 months). Missing this date forfeits the priority date. Set reminders at 6, 9, and 11 months.</w:t>
      </w:r>
    </w:p>
    <w:p>
      <w:pPr>
        <w:pStyle w:val="ListParagraph"/>
        <w:numPr>
          <w:ilvl w:val="0"/>
          <w:numId w:val="4"/>
        </w:numPr>
        <w:spacing w:after="100"/>
      </w:pPr>
      <w:r>
        <w:t xml:space="preserve">Budget for the next stage: US non-provisional with attorney ~$10,000-20,000; PCT filing ~$4,000-8,000; EPO regional phase later ~$6,000-12,000. Your seed budget's $400k legal/IP line covers this.</w:t>
      </w:r>
    </w:p>
    <w:p>
      <w:pPr>
        <w:pStyle w:val="ListParagraph"/>
        <w:numPr>
          <w:ilvl w:val="0"/>
          <w:numId w:val="4"/>
        </w:numPr>
        <w:spacing w:after="100"/>
      </w:pPr>
      <w:r>
        <w:t xml:space="preserve">Update all materials to the real status: “US provisional patent application No. 63/XXX,XXX filed [date]; PCT to follow.” Never state more than is true — investors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Milestone</w:t>
            </w:r>
          </w:p>
        </w:tc>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Cost (small entity)</w:t>
            </w:r>
          </w:p>
        </w:tc>
        <w:tc>
          <w:tcPr>
            <w:tcW w:type="dxa" w:w="4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Deadline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Provisional filing</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$130 + counsel $2-8k</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ASAP — starts patent pending</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IP assignment recording</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~$0</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Within days of filing</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 non-provisional</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~$10-20k all-in</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12 months from provisional</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PCT international</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~$4-8k</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12 months from provisional</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EPO / GCC national phases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~$6-12k each</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30-31 months from priority</w:t>
            </w:r>
          </w:p>
        </w:tc>
      </w:tr>
    </w:tbl>
    <w:p>
      <w:pPr>
        <w:pStyle w:val="Heading1"/>
      </w:pPr>
      <w:r>
        <w:t xml:space="preserve">PART B — Securing Grants and Funding: Who to Reach Out To</w:t>
      </w:r>
    </w:p>
    <w:p>
      <w:pPr>
        <w:pStyle w:val="Heading2"/>
      </w:pPr>
      <w:r>
        <w:t xml:space="preserve">B.1 Non-dilutive grants (no equity given up) — start these in parallel</w:t>
      </w:r>
    </w:p>
    <w:p>
      <w:pPr>
        <w:spacing w:after="120"/>
      </w:pPr>
      <w:r>
        <w:t xml:space="preserve">MACE is unusually well-positioned for federal R&amp;D grants: cybersecurity, federal compliance automation, and a working prototype are exactly what these programs fund. Requirements: a US small business, majority US-citizen/permanent-resident owned, under 500 employees. Note: SBIR program authorization has been in flux — confirm current status on sbir.gov before planning around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Program</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Typical award</w:t>
            </w:r>
          </w:p>
        </w:tc>
        <w:tc>
          <w:tcPr>
            <w:tcW w:type="dxa" w:w="5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Why MACE fits / how to start</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NSF SBIR (America's Seed Fund)</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Up to ~$305k Phase I</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Deep-tech R&amp;D angle: the probabilistic asset graph + federated learning. Start with the 3-page Project Pitch at seedfund.nsf.gov (new windows opened June 2026); full proposal only if invited.</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DHS S&amp;T SBIR</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Up to ~$175k Phase I</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Best topical fit: CISA-driven cybersecurity topics dominate DHS solicitations and applicant-to-award ratios are friendlier (~3-4:1). Watch dhs.gov/science-and-technology/sbir; 2026 solicitation expected mid-year.</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DoD SBIR / AFWERX Open Topic</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$50k-$295k Phase I</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CMMC/defense-contractor angle. AFWERX open topics accept commercial products with defense application — MACE's CUI incident evidence packaging is a direct hook. afwerx.com + dodsbirsttr.mil.</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NIST / other agency SBIRs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Varies</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Post-quantum readiness tracker maps to NIST PQC migration programs.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State programs (DE/NY/DC)</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$10k-100k</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Delaware EDGE grants; NY/DC regional cyber programs depending on where you base the office.</w:t>
            </w:r>
          </w:p>
        </w:tc>
      </w:tr>
    </w:tbl>
    <w:p>
      <w:pPr>
        <w:spacing w:after="120"/>
      </w:pPr>
      <w:r>
        <w:t xml:space="preserve">Grant strategy: apply to 2-3 programs maximum (each application is 2-6 weeks of work), led by DHS SBIR for fit and NSF for size. Phase II awards ($1M+) follow successful Phase I and are a strong non-dilutive bridge alongside the seed.</w:t>
      </w:r>
    </w:p>
    <w:p>
      <w:pPr>
        <w:pStyle w:val="Heading2"/>
      </w:pPr>
      <w:r>
        <w:t xml:space="preserve">B.2 Cybersecurity-specialist investors (equity)</w:t>
      </w:r>
    </w:p>
    <w:p>
      <w:pPr>
        <w:spacing w:after="120"/>
      </w:pPr>
      <w:r>
        <w:t xml:space="preserve">Generic VCs struggle to evaluate a pre-revenue security platform; specialists can diligence the technology itself. Prioritize,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Who</w:t>
            </w:r>
          </w:p>
        </w:tc>
        <w:tc>
          <w:tcPr>
            <w:tcW w:type="dxa" w:w="6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Why / approach</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DataTribe (Maryland)</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Cyber 'foundry' that co-builds with technical founders pre-revenue — closest fit to your stage. Annual DataTribe Challenge is a direct application path.</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Ten Eleven Ventures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Cyber-only fund, seed to growth. Warm intro preferred; their thesis fits consolidation plays.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ForgePoint Capital</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Cyber-focused, strong federal/GovCon network — valuable for the FedRAMP wedge.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YL Ventures / Team8</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Seed-stage cyber specialists with CISO advisory networks that double as design-partner pipelines.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SYN Ventures, NightDragon, Paladin Capital</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Cyber/national-security funds; Paladin especially strong in dual-use and government.</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SVCI (Silicon Valley CISO Investments)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Angel syndicate of sitting CISOs — investment AND instant design-partner candidates. Arguably your highest-leverage first outreach.</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Accelerators: Y Combinator, Mach37 (VA cyber), Techstars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YC for brand/network; Mach37 for cyber-specific GTM and federal proximity.</w:t>
            </w:r>
          </w:p>
        </w:tc>
      </w:tr>
    </w:tbl>
    <w:p>
      <w:pPr>
        <w:pStyle w:val="Heading2"/>
      </w:pPr>
      <w:r>
        <w:t xml:space="preserve">B.3 The outreach playbook</w:t>
      </w:r>
    </w:p>
    <w:p>
      <w:pPr>
        <w:pStyle w:val="ListParagraph"/>
        <w:numPr>
          <w:ilvl w:val="0"/>
          <w:numId w:val="5"/>
        </w:numPr>
        <w:spacing w:after="100"/>
      </w:pPr>
      <w:r>
        <w:t xml:space="preserve">Sequence: design partners first, money second. Every conversation in B.2 should open with 'we're selecting 3 design partners for a platform that auto-generates FedRAMP/GDPR/NIS2 incident evidence' — not 'we're raising.' Traction converts a C+ pitch into an A- one faster than any document.</w:t>
      </w:r>
    </w:p>
    <w:p>
      <w:pPr>
        <w:pStyle w:val="ListParagraph"/>
        <w:numPr>
          <w:ilvl w:val="0"/>
          <w:numId w:val="5"/>
        </w:numPr>
        <w:spacing w:after="100"/>
      </w:pPr>
      <w:r>
        <w:t xml:space="preserve">Package: send the v3 deck + a 3-minute screen recording of the live demo (1,000-device fleet, real scan, evidence draft generated in minutes). Offer the data-room (Section 14 of the proposal) on first call.</w:t>
      </w:r>
    </w:p>
    <w:p>
      <w:pPr>
        <w:pStyle w:val="ListParagraph"/>
        <w:numPr>
          <w:ilvl w:val="0"/>
          <w:numId w:val="5"/>
        </w:numPr>
        <w:spacing w:after="100"/>
      </w:pPr>
      <w:r>
        <w:t xml:space="preserve">Warm paths: SVCI and DataTribe accept direct applications; for the funds, use portfolio founders, the bankers you already identified (AGC Partners, Forte), or CISOs from design-partner conversations.</w:t>
      </w:r>
    </w:p>
    <w:p>
      <w:pPr>
        <w:pStyle w:val="ListParagraph"/>
        <w:numPr>
          <w:ilvl w:val="0"/>
          <w:numId w:val="5"/>
        </w:numPr>
        <w:spacing w:after="100"/>
      </w:pPr>
      <w:r>
        <w:t xml:space="preserve">Cadence: 10-15 targeted conversations, not 100 generic ones. Track in a simple CRM. Expect 6-10 weeks from first call to term sheet at seed.</w:t>
      </w:r>
    </w:p>
    <w:p>
      <w:pPr>
        <w:pStyle w:val="ListParagraph"/>
        <w:numPr>
          <w:ilvl w:val="0"/>
          <w:numId w:val="5"/>
        </w:numPr>
        <w:spacing w:after="100"/>
      </w:pPr>
      <w:r>
        <w:t xml:space="preserve">File the provisional BEFORE broad outreach (Part A) so 'patent pending' is literally true, and never share the claims text — share the one-page IP summary instead.</w:t>
      </w:r>
    </w:p>
    <w:p>
      <w:pPr>
        <w:pStyle w:val="Heading2"/>
      </w:pPr>
      <w:r>
        <w:t xml:space="preserve">B.4 What to avoid</w:t>
      </w:r>
    </w:p>
    <w:p>
      <w:pPr>
        <w:pStyle w:val="ListParagraph"/>
        <w:numPr>
          <w:ilvl w:val="0"/>
          <w:numId w:val="6"/>
        </w:numPr>
        <w:spacing w:after="80"/>
      </w:pPr>
      <w:r>
        <w:t xml:space="preserve">Do not pitch the pre-revenue acquisition story to VCs — it caps their upside and kills the round. Keep the M&amp;A track (bankers) and the VC track separate.</w:t>
      </w:r>
    </w:p>
    <w:p>
      <w:pPr>
        <w:pStyle w:val="ListParagraph"/>
        <w:numPr>
          <w:ilvl w:val="0"/>
          <w:numId w:val="6"/>
        </w:numPr>
        <w:spacing w:after="80"/>
      </w:pPr>
      <w:r>
        <w:t xml:space="preserve">Do not pay 'finders' percentage fees for intros to VCs; reputable funds disregard paid intermediaries.</w:t>
      </w:r>
    </w:p>
    <w:p>
      <w:pPr>
        <w:pStyle w:val="ListParagraph"/>
        <w:numPr>
          <w:ilvl w:val="0"/>
          <w:numId w:val="6"/>
        </w:numPr>
        <w:spacing w:after="80"/>
      </w:pPr>
      <w:r>
        <w:t xml:space="preserve">Do not let SBIR applications delay revenue work — grants are a parallel lane, never the main one.</w:t>
      </w:r>
    </w:p>
    <w:p>
      <w:pPr>
        <w:pStyle w:val="Heading1"/>
      </w:pPr>
      <w:r>
        <w:t xml:space="preserve">PART C — UAE Funding Track: Hub71 and the Gulf Map</w:t>
      </w:r>
    </w:p>
    <w:p>
      <w:pPr>
        <w:pStyle w:val="Heading2"/>
      </w:pPr>
      <w:r>
        <w:t xml:space="preserve">C.1 Hub71 — what it is and what you get</w:t>
      </w:r>
    </w:p>
    <w:p>
      <w:pPr>
        <w:spacing w:after="120"/>
      </w:pPr>
      <w:r>
        <w:t xml:space="preserve">Hub71 is Abu Dhabi's government-backed tech ecosystem. Accepted startups receive AED 250,000 in cash (via SAFE note, i.e., for equity), AED 250,000 in in-kind incentives (housing, office, services credits), and high performers can earn an AED 250,000 top-up — up to AED 750,000 (~$204k) total. The bigger prize is the network: introductions to UAE banks, government entities, and sovereign-linked corporates — exactly MACE's NESA/aeCERT/DIFC buyers.</w:t>
      </w:r>
    </w:p>
    <w:p>
      <w:pPr>
        <w:spacing w:after="120"/>
      </w:pPr>
      <w:r>
        <w:t xml:space="preserve">Key commitment to understand before applying: at least one founder is expected to relocate long-term and build a team out of Abu Dhabi. As a solo founder this means you personally — decide whether you can commit meaningful time in Abu Dhabi for the 12-month program before applying. Next deadline: August 2, 2026 (program starts February 2027). Applications are free at hub71.com; expect a response within ~3 months.</w:t>
      </w:r>
    </w:p>
    <w:p>
      <w:pPr>
        <w:pStyle w:val="Heading2"/>
      </w:pPr>
      <w:r>
        <w:t xml:space="preserve">C.2 Hub71 application — exactly what they ask</w:t>
      </w:r>
    </w:p>
    <w:p>
      <w:pPr>
        <w:spacing w:after="120"/>
      </w:pPr>
      <w:r>
        <w:t xml:space="preserve">The application is a web form plus a pitch deck in PDF. The deck must cover, in their words: (1) problem, solution, value proposition, and business model; (2) competition, market, traction, and funds raised; (3) founders/founding team; (4) plans for Hub71 and Abu Dhabi. Selection runs four rounds: application review → pitch to the Hub71 team → pitch to ecosystem partners → final selection committee. Evaluation focuses on team, market opportunity, and growth plans.</w:t>
      </w:r>
    </w:p>
    <w:p>
      <w:pPr>
        <w:pStyle w:val="Heading2"/>
      </w:pPr>
      <w:r>
        <w:t xml:space="preserve">C.3 Getting MACE Hub71-ready — checklist</w:t>
      </w:r>
    </w:p>
    <w:p>
      <w:pPr>
        <w:pStyle w:val="ListParagraph"/>
        <w:numPr>
          <w:ilvl w:val="0"/>
          <w:numId w:val="7"/>
        </w:numPr>
        <w:spacing w:after="100"/>
      </w:pPr>
      <w:r>
        <w:t xml:space="preserve">File the US provisional FIRST (Part A) — 'patent pending' must be true on the deck they evaluate.</w:t>
      </w:r>
    </w:p>
    <w:p>
      <w:pPr>
        <w:pStyle w:val="ListParagraph"/>
        <w:numPr>
          <w:ilvl w:val="0"/>
          <w:numId w:val="7"/>
        </w:numPr>
        <w:spacing w:after="100"/>
      </w:pPr>
      <w:r>
        <w:t xml:space="preserve">Export MACE_Investor_Deck_v3.pptx to PDF and add two slides: 'Why Abu Dhabi' (UREA already automates NESA IAS, aeCERT, and DIFC DPL — capabilities no incumbent ships; GCC expansion via Saudi NCA ECC already built; plan: ADGM entity, regional solutions engineer hire, 5 UAE critical-infrastructure design partners in year one) and 'Traction &amp; funds raised' (pre-revenue, bootstrapped, 156/156 tests, working platform, demo video link — honesty plays well).</w:t>
      </w:r>
    </w:p>
    <w:p>
      <w:pPr>
        <w:pStyle w:val="ListParagraph"/>
        <w:numPr>
          <w:ilvl w:val="0"/>
          <w:numId w:val="7"/>
        </w:numPr>
        <w:spacing w:after="100"/>
      </w:pPr>
      <w:r>
        <w:t xml:space="preserve">Record the 3-minute demo video and host it (YouTube unlisted is fine). Gulf evaluators respond strongly to working product over projections.</w:t>
      </w:r>
    </w:p>
    <w:p>
      <w:pPr>
        <w:pStyle w:val="ListParagraph"/>
        <w:numPr>
          <w:ilvl w:val="0"/>
          <w:numId w:val="7"/>
        </w:numPr>
        <w:spacing w:after="100"/>
      </w:pPr>
      <w:r>
        <w:t xml:space="preserve">Prepare the relocation answer: a concrete statement like 'I will base myself in Abu Dhabi for the program and hire the first regional engineer locally' — vague answers fail Round 2.</w:t>
      </w:r>
    </w:p>
    <w:p>
      <w:pPr>
        <w:pStyle w:val="ListParagraph"/>
        <w:numPr>
          <w:ilvl w:val="0"/>
          <w:numId w:val="7"/>
        </w:numPr>
        <w:spacing w:after="100"/>
      </w:pPr>
      <w:r>
        <w:t xml:space="preserve">Prepare three verbal answers you'll be asked: market size for GCC cybersecurity compliance; why now (NESA enforcement, UAE PDPL, Saudi NCA momentum); why you alone can build this (founder-written platform, patent filings).</w:t>
      </w:r>
    </w:p>
    <w:p>
      <w:pPr>
        <w:pStyle w:val="ListParagraph"/>
        <w:numPr>
          <w:ilvl w:val="0"/>
          <w:numId w:val="7"/>
        </w:numPr>
        <w:spacing w:after="100"/>
      </w:pPr>
      <w:r>
        <w:t xml:space="preserve">Have the data room link ready (Section 14 of the investor proposal) — offering it unprompted in Round 2 differentiates you.</w:t>
      </w:r>
    </w:p>
    <w:p>
      <w:pPr>
        <w:pStyle w:val="Heading2"/>
      </w:pPr>
      <w:r>
        <w:t xml:space="preserve">C.4 The wider Gulf funding and contact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Who</w:t>
            </w:r>
          </w:p>
        </w:tc>
        <w:tc>
          <w:tcPr>
            <w:tcW w:type="dxa" w:w="6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Why / how to approach</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Hub71 (Abu Dhabi)</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Primary target — apply online before Aug 2, 2026. Cash + network + soft landing.</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DIFC Innovation Hub (Dubai)</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Subsidized innovation license (~$1.5k/yr) gives you a Dubai presence + access to DIFC's financial-sector clients — your DORA/DIFC DPL buyers. Apply at innovationhub.difc.ae.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Dubai Future District Fund</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AED 1B evergreen fund anchored by DIFC; lists cybersecurity as a focus. Reached via DIFC Innovation Hub membership or warm intro — not cold application.</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MBRIF (Mohammed Bin Rashid Innovation Fund)</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Federal innovation accelerator + loan-guarantee scheme; open application at mbrif.ae; non-dilutive flavor.</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GISEC Global (Dubai, annual)</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The Gulf's largest cybersecurity expo — a startup booth or even attendance puts you in front of every UAE CISO and government buyer in one week. Plan for the next edition.</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CPX / G42 ecosystem (Abu Dhabi)</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UAE's national cybersecurity champions — potential partner, customer, or eventual acquirer. Approach via Hub71 introductions, not cold.</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Regional VCs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Shorooq Partners, Global Ventures, COTU Ventures, BECO Capital (UAE); STV and Wa'ed Ventures (Saudi) for the GCC expansion story. All warmer post-Hub71.</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e&amp; and du innovation arms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UAE telecoms run startup programs and are themselves NESA-regulated buyers — dual-purpose conversations.</w:t>
            </w:r>
          </w:p>
        </w:tc>
      </w:tr>
    </w:tbl>
    <w:p>
      <w:pPr>
        <w:spacing w:after="120"/>
      </w:pPr>
      <w:r>
        <w:t xml:space="preserve">Sequencing: provisional filed → demo video → Hub71 application (before Aug 2) → DIFC Innovation Hub license inquiry in parallel → use acceptance momentum for VC and corporate conversations. Do not start UAE entity formation until Hub71 answers — acceptance changes which free zone makes sense.</w:t>
      </w:r>
    </w:p>
    <w:p>
      <w:pPr>
        <w:spacing w:before="300"/>
      </w:pPr>
      <w:r>
        <w:rPr>
          <w:i/>
          <w:iCs/>
          <w:sz w:val="18"/>
          <w:szCs w:val="18"/>
        </w:rPr>
        <w:t xml:space="preserve">Sources: USPTO fee schedule (uspto.gov, revised June 2026); sbir.gov; seedfund.nsf.gov; dhs.gov/science-and-technology/sbir; afwerx.com; hub71.com (incentives + application requirements); difc.com; mbrif.ae. Figures and program windows change — verify each before relying on it. This document is not legal or financial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MACE Founder Action Guide — Funding &amp; Patent Filing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2026-06-10T18:16:31.612Z</dcterms:created>
  <dcterms:modified xsi:type="dcterms:W3CDTF">2026-06-10T18:16:31.612Z</dcterms:modified>
</cp:coreProperties>
</file>

<file path=docProps/custom.xml><?xml version="1.0" encoding="utf-8"?>
<Properties xmlns="http://schemas.openxmlformats.org/officeDocument/2006/custom-properties" xmlns:vt="http://schemas.openxmlformats.org/officeDocument/2006/docPropsVTypes"/>
</file>