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44"/>
          <w:szCs w:val="44"/>
        </w:rPr>
        <w:t xml:space="preserve">UnifiedSec Technologies Inc.</w:t>
      </w:r>
    </w:p>
    <w:p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 xml:space="preserve">MACE — Multi-Domain Adaptive Correlation Engine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Unified threat correlation and automated regulatory evidence for US, EU, and GCC markets</w:t>
      </w:r>
    </w:p>
    <w:p>
      <w:pPr>
        <w:spacing w:after="600"/>
        <w:jc w:val="center"/>
      </w:pPr>
      <w:r>
        <w:rPr>
          <w:sz w:val="22"/>
          <w:szCs w:val="22"/>
        </w:rPr>
        <w:t xml:space="preserve">Seed Round Proposal — v3 — June 2026 —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UnifiedSec Technologies Inc. — Delaware C-Corporation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 / Inventor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Vivek Sindhu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 — $5,000,000 (SAFE or priced, to be set with lead)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Pre-revenue; platform built and tested; seeking design partners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provisional patent application drafted (30 claims, 7 components); filing with counsel — date to be confirmed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status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158+ Python source files, ~22,000 lines; 156/156 automated tests passing; React SOC + admin consoles; Terraform/Helm/CI-CD; cross-platform endpoint agent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United States (primary), European Union, UAE / GCC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Regulatory coverage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frameworks automated — US: FedRAMP SIR, HIPAA, PCI-DSS, SEC 8-K, CMMC, SOC 2, CISA KEV; EU: GDPR Art. 33/34, NIS2, DORA; UAE: NESA IAS, aeCERT, DIFC DPL (Saudi NCA ECC supported for GCC expansion)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UnifiedSec Technologies is raising a $5M seed round for MACE, a cybersecurity platform that correlates threat signals across seven domains (vulnerabilities, endpoint, identity, network, compliance posture, threat intelligence, and endpoint posture) into a single explainable priority score, and automatically generates the regulatory evidence and notification drafts those incidents trigger — across 14 frameworks in the US, EU, and UAE.</w:t>
      </w:r>
    </w:p>
    <w:p>
      <w:pPr>
        <w:spacing w:after="120"/>
      </w:pPr>
      <w:r>
        <w:t xml:space="preserve">The thesis is simple: security teams run five or more tools that each alert in isolation, and after every serious incident they face a second job — regulatory reporting under deadlines as short as one hour (FedRAMP SIR) or four hours (DORA). MACE addresses both with one pipeline: probabilistic asset identity resolution (UTAG), an adaptive cross-domain correlation score (CDCS), and a regulatory evidence automaton (UREA) that produces tamper-evident, pre-filled notification drafts in minutes.</w:t>
      </w:r>
    </w:p>
    <w:p>
      <w:pPr>
        <w:spacing w:after="120"/>
      </w:pPr>
      <w:r>
        <w:t xml:space="preserve">What makes this seed round unusual is that the product phase is substantially complete: the platform passes 156/156 automated tests, and the SaaS backend, SOC dashboard, admin portal, connector pipeline (CrowdStrike, Tenable, Splunk, Axonius, MISP), infrastructure-as-code, and a cross-platform endpoint agent all exist and run today. The round funds validation and go-to-market: design partners, compliance certifications (SOC 2, ISO 27001), FedRAMP groundwork, and the first sales hires.</w:t>
      </w:r>
    </w:p>
    <w:p>
      <w:pPr>
        <w:spacing w:after="120"/>
      </w:pPr>
      <w:r>
        <w:t xml:space="preserve">We are explicit about what we do not yet have: revenue, customers, and a team beyond the founder. The 18-month plan below is built to convert the technical asset into commercial proof.</w:t>
      </w:r>
    </w:p>
    <w:p>
      <w:pPr>
        <w:pStyle w:val="Heading1"/>
      </w:pPr>
      <w:r>
        <w:t xml:space="preserve">2. The Problem</w:t>
      </w:r>
    </w:p>
    <w:p>
      <w:pPr>
        <w:spacing w:after="120"/>
      </w:pPr>
      <w:r>
        <w:t xml:space="preserve">Enterprise security teams typically operate an asset inventory tool, an EDR, a vulnerability scanner, a SIEM, and one or more compliance tools. Each produces its own alert stream with no shared asset identity and no unified pre-alert scoring. Analysts manually reconcile these signals — hours of work per incident while attacker dwell time accumulates.</w:t>
      </w:r>
    </w:p>
    <w:p>
      <w:pPr>
        <w:spacing w:after="120"/>
      </w:pPr>
      <w:r>
        <w:t xml:space="preserve">A second, growing burden is regulatory: SEC cyber disclosure (4 business days), GDPR Article 33 (72 hours), NIS2 early warning (24 hours), DORA (4 hours from classification), FedRAMP SIR (1 hour), and UAE NESA/aeCERT immediate reporting. Evidence assembly and notification drafting is manual at nearly every organization, and missing a deadline is itself a violation — independent of the breach.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category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MACE fills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management (Axonius)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Aggregates asset data from adapters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cross-domain threat scoring; no regulatory evidence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EDR (CrowdStrike)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 detection and response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domain; no unified asset identity across tools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mgmt (Tenable)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CVE scanning, prioritization (VPR)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Periodic scans; no live identity graph; no evidence automation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SIEM (Splunk)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aggregation, rule correlation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Rules need manual tuning; no probabilistic asset graph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automation (Vanta, Drata)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monitoring, audit prep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incident-driven; no threat correlation; limited breach-notification automation</w:t>
            </w:r>
          </w:p>
        </w:tc>
      </w:tr>
    </w:tbl>
    <w:p>
      <w:pPr>
        <w:pStyle w:val="Heading1"/>
      </w:pPr>
      <w:r>
        <w:t xml:space="preserve">3. The Solution</w:t>
      </w:r>
    </w:p>
    <w:p>
      <w:pPr>
        <w:spacing w:after="120"/>
      </w:pPr>
      <w:r>
        <w:t xml:space="preserve">MACE is one pipeline with seven cooperating components. Three form the patent-pending 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Differentiation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UTAG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Probabilistic, time-decaying asset identity graph across 11 asset classes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Hardware-ID-boosted matching; shadow-IT detection; geo-velocity anomalies; per-asset confidence score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CDCS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Seven-domain weighted threat score (0-10), adaptive via analyst feedback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Explainable formula (not a black box); EPSS + CISA KEV integration; MITRE ATT&amp;CK kill-chain and blast-radius multipliers; jurisdiction weight profiles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UREA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Deterministic automaton generating regulatory evidence and notification drafts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frameworks across US/EU/UAE; SHA-256 chain-of-custody; pre-filled drafts in minutes</w:t>
            </w:r>
          </w:p>
        </w:tc>
      </w:tr>
    </w:tbl>
    <w:p>
      <w:pPr>
        <w:spacing w:after="120"/>
      </w:pPr>
      <w:r>
        <w:t xml:space="preserve">Four extensions complete the platform: UMEA, a single cross-platform endpoint agent (Windows/macOS/Linux/Android/iOS) consolidating asset inventory, STIG/CIS checks, CVE matching, EDR-class behavioral detection, DLP patterns, SBOM/supply-chain checks, and deception tokens; hardware-rooted report attestation (Secure Enclave / TPM 2.0 / Strongbox) so agents cannot lie about their own state; federated adaptive learning with differential privacy so correlation weights improve across customers without data leaving any environment; and Macey, a tool-using GenAI assistant over the whole platform with a deterministic fallback for air-gapped deployments.</w:t>
      </w:r>
    </w:p>
    <w:p>
      <w:pPr>
        <w:spacing w:after="120"/>
      </w:pPr>
      <w:r>
        <w:t xml:space="preserve">Positioning note: UMEA consolidates core functions of several point products for the mid-market; it is not claimed as a drop-in replacement for mature category leaders in large enterprises. The wedge is unified correlation plus regulatory evidence — a combination no incumbent ships today.</w:t>
      </w:r>
    </w:p>
    <w:p>
      <w:pPr>
        <w:pStyle w:val="Heading1"/>
      </w:pPr>
      <w:r>
        <w:t xml:space="preserve">4. What Exists Today (Verified 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Algorithm core (UTAG + CDCS + UREA)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156/156 automated tests passing (June 2026), incl. chain-of-custody tamper tests, 7-domain weight-adaptation bounds, and merge-boundary cases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SaaS backend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FastAPI, 9 DB models, 6 API route groups, JWT auth, encryption tests passing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dashboard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18 / TypeScript; executive KPI summary, real-time WebSocket feed, CDCS meters, compliance calendar; production build verified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18; tenant configuration, user management, billing scaffolding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Connectors + pipeline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CrowdStrike, Tenable, Splunk, Axonius, MISP, generic + endpoint-agent ingest; EPSS enricher; alert dispatcher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Terraform (multi-region), Helm charts, GitHub Actions CI/CD, Prometheus monitoring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 agent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Cross-platform UMEA with macOS app build (MACEAgent.app) and signed report attestation</w:t>
            </w:r>
          </w:p>
        </w:tc>
      </w:tr>
    </w:tbl>
    <w:p>
      <w:pPr>
        <w:spacing w:after="120"/>
      </w:pPr>
      <w:r>
        <w:t xml:space="preserve">What does not exist yet: production customers, third-party security audit of the platform itself, FedRAMP authorization, and SOC 2 attestation. All four are funded objectives of this round.</w:t>
      </w:r>
    </w:p>
    <w:p>
      <w:pPr>
        <w:pStyle w:val="Heading1"/>
      </w:pPr>
      <w:r>
        <w:t xml:space="preserve">5. Market and Why Now</w:t>
      </w:r>
    </w:p>
    <w:p>
      <w:pPr>
        <w:spacing w:after="120"/>
      </w:pPr>
      <w:r>
        <w:t xml:space="preserve">Global cybersecurity spending is on the order of $200B+ annually and growing double digits; MACE's serviceable market is the intersection of security operations and compliance automation for regulated organizations. Rather than quoting a single inflated TAM figure, we frame the opportunity by regulatory driver: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MACE wedge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FedRAMP continuous monitoring + 1-hour SIR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federal cloud service providers and contractors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Auto-generated SIR with evidence chain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 cyber disclosure rule (2023)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 public companies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Materiality work-up and 8-K draft generation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CMMC 2.0 rollout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DoD contractor base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CUI incident evidence packaging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 NIS2 (enforced since Oct 2024)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~160,000 essential/important entities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24h early-warning + 72h full report drafts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 DORA (applies since Jan 2025)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 financial entities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4-hour ICT incident report automation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UAE NESA IAS / aeCERT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UAE critical infrastructure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notification with auto-reference</w:t>
            </w:r>
          </w:p>
        </w:tc>
      </w:tr>
    </w:tbl>
    <w:p>
      <w:pPr>
        <w:spacing w:after="120"/>
      </w:pPr>
      <w:r>
        <w:t xml:space="preserve">Comparable outcomes (for context, not as promises): Axonius raised $200M at a $2.6B valuation in March 2024 on ~$100M ARR; Google's $32B acquisition of Wiz closed in March 2026; compliance-automation leaders (Vanta, Drata) reached unicorn valuations on the audit-prep half of the problem MACE addresses end-to-end.</w:t>
      </w:r>
    </w:p>
    <w:p>
      <w:pPr>
        <w:pStyle w:val="Heading1"/>
      </w:pPr>
      <w:r>
        <w:t xml:space="preserve">6. Competition — Honest View</w:t>
      </w:r>
    </w:p>
    <w:p>
      <w:pPr>
        <w:spacing w:after="120"/>
      </w:pPr>
      <w:r>
        <w:t xml:space="preserve">MACE competes at the intersection of three categories. Incumbents are stronger in their home category; none ships the combination.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42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Closest incumbent today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Cross-tool probabilistic asset identity with temporal decay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Axonius (rule-based aggregation; no decay/confidence scoring)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Explainable multi-domain pre-alert score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(7 domains)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SIEM correlation rules (manual tuning); XDR scores (single-vendor telemetry)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Exploit-probability prioritization (EPSS/KEV)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Tenable VPR, CrowdStrike ExPRT.AI (partial, within their own data)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Adaptive weights from analyst feedback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direct equivalent identified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multi-jurisdiction breach notifications (US+EU+UAE)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(14 frameworks)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platform identified covering all three jurisdictions; point tools cover subsets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Tamper-evident evidence chain (SHA-256 + hardware attestation)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Chain-of-custody features exist in forensics tools, not wired to live correlation</w:t>
            </w:r>
          </w:p>
        </w:tc>
      </w:tr>
    </w:tbl>
    <w:p>
      <w:pPr>
        <w:spacing w:after="120"/>
      </w:pPr>
      <w:r>
        <w:t xml:space="preserve">Real competitive risks: Microsoft (Sentinel/Defender/Purview) and Palo Alto (XSIAM) could bundle adjacent capability; Vanta/Drata could move from audit-prep into incident-driven evidence. Our defenses are the patent filings, the cross-vendor neutrality incumbents cannot easily offer, and regulatory breadth that takes years of jurisdiction-specific work to replicate.</w:t>
      </w:r>
    </w:p>
    <w:p>
      <w:pPr>
        <w:pStyle w:val="Heading1"/>
      </w:pPr>
      <w:r>
        <w:t xml:space="preserve">7.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(per asset / yr)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 (up to 500 assets)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SMB and FedRAMP contractors — land at ~$50k ACV including services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 (to 5,000 assets)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Mid-market regulated enterprise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(unlimited)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($6-8)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enterprise and government</w:t>
            </w:r>
          </w:p>
        </w:tc>
      </w:tr>
    </w:tbl>
    <w:p>
      <w:pPr>
        <w:spacing w:after="120"/>
      </w:pPr>
      <w:r>
        <w:t xml:space="preserve">Pricing benchmarked against the combined cost of the tool stack MACE consolidates; even partial consolidation yields strong ROI math for the buyer. Compliance-evidence automation is the expansion lever: it is budgeted from GRC, not just the SOC.</w:t>
      </w:r>
    </w:p>
    <w:p>
      <w:pPr>
        <w:pStyle w:val="Heading1"/>
      </w:pPr>
      <w:r>
        <w:t xml:space="preserve">8. Financial Plan (Illustrative)</w:t>
      </w:r>
    </w:p>
    <w:p>
      <w:pPr>
        <w:spacing w:after="120"/>
      </w:pPr>
      <w:r>
        <w:t xml:space="preserve">The projections below are planning assumptions, not forecasts. They are deliberately conservative against compliance-automation comparables and assume the milestone plan in Section 9 holds.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1 (FY27)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2 (FY28)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3 (FY29)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Customers (end of year)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pilots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ACV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$50k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$65k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$85k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 (exit)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$250k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$1.6M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$6.0M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~75%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~78%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~80%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size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burn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$2.8M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$2.6M (post-Series A)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approaching breakeven</w:t>
            </w:r>
          </w:p>
        </w:tc>
      </w:tr>
    </w:tbl>
    <w:p>
      <w:pPr>
        <w:pStyle w:val="Heading2"/>
      </w:pPr>
      <w:r>
        <w:t xml:space="preserve">8.1 Unit economics — targets and logic</w:t>
      </w:r>
    </w:p>
    <w:p>
      <w:pPr>
        <w:spacing w:after="120"/>
      </w:pPr>
      <w:r>
        <w:t xml:space="preserve">Target CAC payback under 14 months: the land motion is a $30-60k compliance-driven pilot with a hard regulatory deadline as the forcing function, which compresses sales cycles relative to discretionary security tooling. Target net revenue retention above 120%: expansion comes from asset-count growth, additional jurisdictions, and the GRC budget (evidence automation) layering onto the SOC budget (correlation). Gross margin path to 80% reflects multi-tenant SaaS economics with the endpoint agent adding negligible serving cost. The Series A (raised against Year-1 proof) funds the sales team expansion behind these numbers.</w:t>
      </w:r>
    </w:p>
    <w:p>
      <w:pPr>
        <w:pStyle w:val="Heading1"/>
      </w:pPr>
      <w:r>
        <w:t xml:space="preserve">9. Milestones — 18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Months 0-3 — </w:t>
      </w:r>
      <w:r>
        <w:t xml:space="preserve">Q3 2026: incorporate hires (CTO/VP Eng search), file US non-provisional + PCT, begin SOC 2 Type II observation window, sign 3 design partners (target: FedRAMP-adjacent contractors).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Months 4-9 — </w:t>
      </w:r>
      <w:r>
        <w:t xml:space="preserve">Q4 2026 - Q1 2027: first 5 paying pilots ($30-60k ACV), SOC 2 Type II report, third-party penetration test of the platform, NIS2/DORA pilot in EU via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Months 10-18 — </w:t>
      </w:r>
      <w:r>
        <w:t xml:space="preserve">Q2-Q3 2027: $750k-$1.2M ARR target, FedRAMP 3PAO readiness assessment complete, UAE go-to-market via GCC reseller, Series A raise from a position of commercial proof.</w:t>
      </w:r>
    </w:p>
    <w:p>
      <w:pPr>
        <w:pStyle w:val="Heading1"/>
      </w:pPr>
      <w:r>
        <w:t xml:space="preserve">10. Use of Funds — $5.0M (single reconciled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 &amp; product (8 FTE incl. VP Eng)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$2,000,000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2, frontend 1, DevSecOps 2, ML 1, solutions architect 1, VP Eng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$900,000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 Sales, 1 AE/SDR, RSA + Black Hat presence, demand gen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&amp; certifications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$500,000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 Type II, ISO 27001, FedRAMP gap assessment / 3PAO readiness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infrastructure &amp; tooling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$400,000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Multi-region EKS, RDS, monitoring, security tooling — 18 months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 &amp; IP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$400,000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non-provisional, PCT + national phases, corporate, employment, IP assignments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Threat-intel &amp; data feeds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$200,000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Commercial TI, EPSS/KEV tooling, test datasets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G&amp;A, insurance, finance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$300,000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 office, D&amp;O/E&amp;O, accounting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$300,000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6% reserve</w:t>
            </w:r>
          </w:p>
        </w:tc>
      </w:tr>
    </w:tbl>
    <w:p>
      <w:pPr>
        <w:spacing w:after="120"/>
      </w:pPr>
      <w:r>
        <w:t xml:space="preserve">Total $5.0M. Average burn ~$250k/month at full hiring → approximately 20 months of runway, with hiring staged to extend it if commercial milestones slip. (This supersedes the two divergent budgets in v2/v2.1.)</w:t>
      </w:r>
    </w:p>
    <w:p>
      <w:pPr>
        <w:pStyle w:val="Heading1"/>
      </w:pPr>
      <w:r>
        <w:t xml:space="preserve">11. Team</w:t>
      </w:r>
    </w:p>
    <w:p>
      <w:pPr>
        <w:spacing w:after="120"/>
      </w:pPr>
      <w:r>
        <w:t xml:space="preserve">Vivek Sindhu — Founder, CEO, and inventor. Designed and implemented the complete MACE algorithm and platform and drafted the patent application. The single-founder concentration is the company's most significant near-term risk; mitigation is explicit: a technical co-founder/CTO search is milestone one, the algorithm is fully documented (Founder's Algorithm Document), and key-person insurance will be in place at close.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CTO (co-founder economics offered) — distributed systems at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 Engineering — FedRAMP / government delivery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 Sales — enterprise cybersecurity, federal sector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lead — SOC 2 / FedRAMP authorization experience</w:t>
      </w:r>
    </w:p>
    <w:p>
      <w:pPr>
        <w:pStyle w:val="Heading1"/>
      </w:pPr>
      <w:r>
        <w:t xml:space="preserve">12. Intellectual Property — Current Status</w:t>
      </w:r>
    </w:p>
    <w:p>
      <w:pPr>
        <w:spacing w:after="120"/>
      </w:pPr>
      <w:r>
        <w:t xml:space="preserve">A US provisional patent application has been drafted covering seven components and 30 claims: the UTAG temporal asset graph, the seven-domain CDCS formula with adaptive and federated learning, the UREA evidence automaton, the unified endpoint agent, hardware-rooted attestation, attack-path simulation, and the GenAI assistant safety architecture. The application is in final review with patent counsel; the priority date is established on filing. PCT and EPO/GCC national-phase decisions follow within the 12-month priority window. We make no representation that claims will issue as drafted; the company also relies on trade-secret protection for implementation details and the regulatory content library.</w:t>
      </w:r>
    </w:p>
    <w:p>
      <w:pPr>
        <w:pStyle w:val="Heading1"/>
      </w:pPr>
      <w:r>
        <w:t xml:space="preserve">13. Risk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516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revenue or customers yet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Design-partner program is milestone one; pricing validated against consolidation ROI; pilots before broad GTM spend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Single-founder execution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CTO search at close; documented codebase; staged hiring; key-person insurance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Patent narrowed or rejected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independent claim families; trade secrets; speed-to-market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Incumbent bundling (Microsoft, Palo Alto)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Cross-vendor neutrality; regulatory breadth; 2+ year replication estimate for the evidence library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FedRAMP timeline &gt;18 months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Commercial + EU/UAE revenue first; FedRAMP groundwork in parallel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sales cycle length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 with $30-60k pilots at FedRAMP contractors; expand via case studies</w:t>
            </w:r>
          </w:p>
        </w:tc>
      </w:tr>
    </w:tbl>
    <w:p>
      <w:pPr>
        <w:pStyle w:val="Heading1"/>
      </w:pPr>
      <w:r>
        <w:t xml:space="preserve">14. Diligence Appendix — What Is Ready for Your Review</w:t>
      </w:r>
    </w:p>
    <w:p>
      <w:pPr>
        <w:spacing w:after="120"/>
      </w:pPr>
      <w:r>
        <w:t xml:space="preserve">We have prepared a data room so technical and legal diligence can begin immediately: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code walkthrough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158+ Python files, ~22,000 lines; live session offered under NDA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suite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156/156 passing; includes adversarial tests (evidence-chain tampering, weight-bound enforcement, identity-merge boundaries)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demo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1,000-device synthetic fleet plus a real host scan; runs in under 2 minutes from a single command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Patent draft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provisional draft v3 with 30 claims and 12 attached figures, in counsel review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Algorithm documentation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Founder's Algorithm Document — full mathematical specification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Terraform (multi-region), Helm charts, CI/CD pipelines, monitoring configs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posture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Third-party penetration test scheduled at close (funded in budget)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Corporate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Delaware C-Corp; IP assignment executed at close; clean single-founder cap table; 15% ESOP at incorporation</w:t>
            </w:r>
          </w:p>
        </w:tc>
      </w:tr>
    </w:tbl>
    <w:p>
      <w:pPr>
        <w:spacing w:after="120"/>
      </w:pPr>
      <w:r>
        <w:t xml:space="preserve">Known open items we will not hide: no production customers yet; SOC 2 observation window not yet started; FedRAMP authorization not yet begun; CTO seat open. Each is a funded milestone with a named owner and date in Section 9.</w:t>
      </w:r>
    </w:p>
    <w:p>
      <w:pPr>
        <w:spacing w:before="300"/>
      </w:pPr>
      <w:r>
        <w:rPr>
          <w:i/>
          <w:iCs/>
          <w:sz w:val="18"/>
          <w:szCs w:val="18"/>
        </w:rPr>
        <w:t xml:space="preserve">Prepared June 2026. CONFIDENTIAL — for evaluation by prospective investors only. Forward-looking statements herein are estimates, not guarantees. Factual claims about code status were verified against the repository on June 10,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UnifiedSec Technologies — MACE Seed Proposal v3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2026-06-10T13:23:49.223Z</dcterms:created>
  <dcterms:modified xsi:type="dcterms:W3CDTF">2026-06-10T13:23:49.223Z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