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MACE — Patent Application Addendum</w:t>
      </w:r>
    </w:p>
    <w:p>
      <w:r>
        <w:rPr>
          <w:b/>
        </w:rPr>
        <w:t>Secure File Encryption, Access Control, Redaction, AI Safeguard &amp; Cross-Matter Conflict Detection</w:t>
      </w:r>
    </w:p>
    <w:p>
      <w:r>
        <w:t>UnifiedSec Technologies · Patent IN/2026/UNISEC/MACE-001 + PCT</w:t>
      </w:r>
    </w:p>
    <w:p>
      <w:r>
        <w:t>Addendum claims 31–40 — supplements the 30 claims of the base filing. DRAFT for counsel review; not yet filed.</w:t>
      </w:r>
    </w:p>
    <w:p>
      <w:pPr>
        <w:pStyle w:val="Heading1"/>
      </w:pPr>
      <w:r>
        <w:t>Field of the addendum</w:t>
      </w:r>
    </w:p>
    <w:p>
      <w:r>
        <w:t>This addendum extends the MACE platform from threat correlation to securing data at rest. It claims a unified pipeline that encrypts files of any type with per-file, HSM-wrapped keys bound to tenant identity; controls access by role, attribute, and classification under non-overridable tenant isolation; redacts sensitive content before encryption; warns of risk before an action completes; and detects conflicts of interest and privilege leaks across segregated matters using a privacy-preserving keyed-token index that stores no raw data.</w:t>
      </w:r>
    </w:p>
    <w:p>
      <w:pPr>
        <w:pStyle w:val="Heading1"/>
      </w:pPr>
      <w:r>
        <w:t>Claims</w:t>
      </w:r>
    </w:p>
    <w:p>
      <w:r>
        <w:rPr>
          <w:b/>
          <w:color w:val="0A1F44"/>
        </w:rPr>
        <w:t>31. File-type-agnostic envelope encryption with cryptographic tenant binding</w:t>
      </w:r>
    </w:p>
    <w:p>
      <w:r>
        <w:t>A method for securing data at rest wherein each file, regardless of type, is encrypted under a unique per-file data encryption key (DEK), the DEK being wrapped by a hardware-security-module-backed master key, and wherein the wrap operation is bound to an authenticated encryption context comprising a tenant identifier such that a wrapped DEK issued for a first tenant cannot be unwrapped under a second tenant's context, thereby enforcing tenant isolation cryptographically rather than by access policy alone.</w:t>
      </w:r>
    </w:p>
    <w:p>
      <w:r>
        <w:rPr>
          <w:b/>
          <w:color w:val="0A1F44"/>
        </w:rPr>
        <w:t>32. Chunked authenticated container resisting reorder, truncation, and splice</w:t>
      </w:r>
    </w:p>
    <w:p>
      <w:r>
        <w:t>The method of claim 31 wherein the ciphertext is organized as an ordered sequence of independently authenticated chunks, each chunk authenticated with associated data derived from a digest of the file header and the chunk's ordinal position and an end-of-stream marker, such that removal, reordering, duplication, or substitution of any chunk is detected on decryption.</w:t>
      </w:r>
    </w:p>
    <w:p>
      <w:r>
        <w:rPr>
          <w:b/>
          <w:color w:val="0A1F44"/>
        </w:rPr>
        <w:t>33. Pre-encryption redaction with tamper-evident report</w:t>
      </w:r>
    </w:p>
    <w:p>
      <w:r>
        <w:t>A method wherein sensitive content, comprising personally identifiable information and leaked secrets, is detected and removed from a file before encryption and storage, and wherein a report enumerating the categories and counts of removed items is produced and recorded in an immutable audit log without recording the removed values themselves.</w:t>
      </w:r>
    </w:p>
    <w:p>
      <w:r>
        <w:rPr>
          <w:b/>
          <w:color w:val="0A1F44"/>
        </w:rPr>
        <w:t>34. Pre-action AI safeguard</w:t>
      </w:r>
    </w:p>
    <w:p>
      <w:r>
        <w:t>A method wherein, prior to completing a data action comprising upload, share, or download, an automated safeguard evaluates the action and its payload to produce a risk score and a verdict of allow, warn, or block, the evaluation combining deterministic detectors with an optional language-model assessment operating on a redaction-safe summary from which raw sensitive values have been removed, and wherein a critical verdict prevents the action from completing.</w:t>
      </w:r>
    </w:p>
    <w:p>
      <w:r>
        <w:rPr>
          <w:b/>
          <w:color w:val="0A1F44"/>
        </w:rPr>
        <w:t>35. Layered access control with non-overridable tenant isolation</w:t>
      </w:r>
    </w:p>
    <w:p>
      <w:r>
        <w:t>An access-control method combining role-based and attribute-based authorization with a data-classification clearance gate, wherein tenant isolation is evaluated as an outermost, categorical condition that no role, including an administrative role, may override, and wherein a named-subject grant may raise a subject's effective clearance for a single object without altering the subject's clearance for any other object.</w:t>
      </w:r>
    </w:p>
    <w:p>
      <w:r>
        <w:rPr>
          <w:b/>
          <w:color w:val="0A1F44"/>
        </w:rPr>
        <w:t>36. Privacy-preserving cross-matter conflict-of-interest detection</w:t>
      </w:r>
    </w:p>
    <w:p>
      <w:r>
        <w:t>A method for detecting conflicts of interest across segregated matters wherein entities extracted from documents are represented only as keyed one-way tokens computed with a tenant-scoped secret, and wherein the appearance of a common token across two or more matters separated by an ethical wall is reported as a potential conflict, the report referencing the token and matter identifiers but not any raw entity value, such that the detection index cannot itself disclose the underlying data.</w:t>
      </w:r>
    </w:p>
    <w:p>
      <w:r>
        <w:rPr>
          <w:b/>
          <w:color w:val="0A1F44"/>
        </w:rPr>
        <w:t>37. Privilege-leak detection via cross-privilege token co-occurrence</w:t>
      </w:r>
    </w:p>
    <w:p>
      <w:r>
        <w:t>The method of claim 36 wherein a keyed entity token appearing in both a document marked privileged and a document not so marked is reported as a potential privilege waiver.</w:t>
      </w:r>
    </w:p>
    <w:p>
      <w:r>
        <w:rPr>
          <w:b/>
          <w:color w:val="0A1F44"/>
        </w:rPr>
        <w:t>38. Tenant-scoped token non-comparability</w:t>
      </w:r>
    </w:p>
    <w:p>
      <w:r>
        <w:t>The method of claim 36 wherein the keyed token for a given entity value differs across tenants, rendering tokens non-comparable between tenants and reinforcing tenant isolation at the correlation layer.</w:t>
      </w:r>
    </w:p>
    <w:p>
      <w:r>
        <w:rPr>
          <w:b/>
          <w:color w:val="0A1F44"/>
        </w:rPr>
        <w:t>39. Defense-in-depth double encryption</w:t>
      </w:r>
    </w:p>
    <w:p>
      <w:r>
        <w:t>The method of claim 31 wherein the application-layer envelope ciphertext is additionally encrypted by an independent server-side encryption facility of the object store keyed by a distinct managed key, such that compromise of either layer alone does not disclose plaintext.</w:t>
      </w:r>
    </w:p>
    <w:p>
      <w:r>
        <w:rPr>
          <w:b/>
          <w:color w:val="0A1F44"/>
        </w:rPr>
        <w:t>40. Unified secure-ingest pipeline with immutable audit</w:t>
      </w:r>
    </w:p>
    <w:p>
      <w:r>
        <w:t>A system comprising the safeguard of claim 34, the redaction of claim 33, and the envelope encryption of claim 31 arranged as a single ingest pipeline that guards, then redacts, then encrypts, then stores each file, and that records each action in an append-only audit log sufficient for SOC 2, FedRAMP, and GDPR evidentiary requirements.</w:t>
      </w:r>
    </w:p>
    <w:p>
      <w:pPr>
        <w:pStyle w:val="Heading1"/>
      </w:pPr>
      <w:r>
        <w:t>Reduction to practice</w:t>
      </w:r>
    </w:p>
    <w:p>
      <w:r>
        <w:t>The claimed methods are implemented in mace_platform/backend/app/secure/ and exercised by an automated test suite (tests/test_secure_files.py) and an end-to-end demonstration (scripts/secure_files_demo.py) that runs offline, confirming: envelope encryption with tenant-bound context; chunk-level tamper detection; redaction before encryption; a safeguard that blocks a leaked private key; classification and tenant-isolation denials; and cross-matter conflict and privilege-leak detection over a keyed-token index proven to hold no raw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