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color w:val="888888"/>
          <w:sz w:val="22"/>
          <w:szCs w:val="22"/>
        </w:rPr>
        <w:t xml:space="preserve">UNITED STATES PATENT AND TRADEMARK OFFICE</w:t>
      </w:r>
    </w:p>
    <w:p>
      <w:pPr>
        <w:spacing w:after="80" w:before="40"/>
        <w:jc w:val="center"/>
      </w:pPr>
      <w:r>
        <w:rPr>
          <w:rFonts w:ascii="Arial" w:cs="Arial" w:eastAsia="Arial" w:hAnsi="Arial"/>
          <w:color w:val="1A3A7A"/>
          <w:sz w:val="36"/>
          <w:szCs w:val="36"/>
        </w:rPr>
        <w:t xml:space="preserve">PROVISIONAL PATENT APPLICATION</w:t>
      </w:r>
    </w:p>
    <w:p>
      <w:pPr>
        <w:spacing w:after="80" w:before="40"/>
        <w:jc w:val="center"/>
      </w:pPr>
      <w:r>
        <w:rPr>
          <w:rFonts w:ascii="Arial" w:cs="Arial" w:eastAsia="Arial" w:hAnsi="Arial"/>
          <w:color w:val="555555"/>
          <w:sz w:val="22"/>
          <w:szCs w:val="22"/>
        </w:rPr>
        <w:t xml:space="preserve">(35 U.S.C. § 111(b))</w:t>
      </w:r>
    </w:p>
    <w:p>
      <w:pPr>
        <w:spacing w:after="60" w:before="60"/>
      </w:pPr>
      <w:r>
        <w:t xml:space="preserve"/>
      </w:r>
    </w:p>
    <w:p>
      <w:pPr>
        <w:spacing w:after="80" w:before="200"/>
        <w:jc w:val="center"/>
      </w:pPr>
      <w:r>
        <w:rPr>
          <w:rFonts w:ascii="Arial" w:cs="Arial" w:eastAsia="Arial" w:hAnsi="Arial"/>
          <w:color w:val="0D2B4E"/>
          <w:sz w:val="40"/>
          <w:szCs w:val="40"/>
        </w:rPr>
        <w:t xml:space="preserve">MACE — MULTI-DOMAIN ADAPTIVE CORRELATION ENGINE</w:t>
      </w:r>
    </w:p>
    <w:p>
      <w:pPr>
        <w:spacing w:after="80" w:before="60"/>
        <w:jc w:val="center"/>
      </w:pPr>
      <w:r>
        <w:rPr>
          <w:rFonts w:ascii="Arial" w:cs="Arial" w:eastAsia="Arial" w:hAnsi="Arial"/>
          <w:color w:val="333333"/>
          <w:sz w:val="26"/>
          <w:szCs w:val="26"/>
        </w:rPr>
        <w:t xml:space="preserve">A Novel Method and System for Probabilistic Asset Identity Reconciliation,</w:t>
      </w:r>
    </w:p>
    <w:p>
      <w:pPr>
        <w:spacing w:after="80" w:before="20"/>
        <w:jc w:val="center"/>
      </w:pPr>
      <w:r>
        <w:rPr>
          <w:rFonts w:ascii="Arial" w:cs="Arial" w:eastAsia="Arial" w:hAnsi="Arial"/>
          <w:color w:val="333333"/>
          <w:sz w:val="26"/>
          <w:szCs w:val="26"/>
        </w:rPr>
        <w:t xml:space="preserve">Cross-Domain Cybersecurity Correlation with Adaptive Machine Learning,</w:t>
      </w:r>
    </w:p>
    <w:p>
      <w:pPr>
        <w:spacing w:after="80" w:before="20"/>
        <w:jc w:val="center"/>
      </w:pPr>
      <w:r>
        <w:rPr>
          <w:rFonts w:ascii="Arial" w:cs="Arial" w:eastAsia="Arial" w:hAnsi="Arial"/>
          <w:color w:val="333333"/>
          <w:sz w:val="26"/>
          <w:szCs w:val="26"/>
        </w:rPr>
        <w:t xml:space="preserve">and Automated Multi-Jurisdictional Regulatory Evidence Generation</w:t>
      </w:r>
    </w:p>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Vivek Sindhu, United States of America</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Applicant</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UnifiedSec Technologies Inc., a Delaware Corporation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Type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Provisional Patent Application under 35 U.S.C. § 111(b)</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Filing Jurisdiction</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United States Patent and Trademark Office (USPTO)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OF FILING — to be inserted by patent counsel]</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Related Filings</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EPO (European Patent Office) — concurrent filing planned
UAE / GCC Patent Office — concurrent filing planned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12-Month Deadline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Non-provisional US application due within 12 months of provisional filing</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IPC Classification</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G06F 21/55; G06F 21/57; H04L 9/40; H04L 41/00; G06N 20/00; G06F 21/60; H04L 63/14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 CPC (Tentative)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H04L 63/1416; H04L 63/20; G06F 21/552; G06N 20/00; G06F 21/577; H04L 63/1425</w:t>
            </w:r>
          </w:p>
        </w:tc>
      </w:tr>
      <w:tr>
        <w:tc>
          <w:tcPr>
            <w:tcW w:type="dxa" w:w="24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Algorithm Status</w:t>
            </w:r>
          </w:p>
        </w:tc>
        <w:tc>
          <w:tcPr>
            <w:tcW w:type="dxa" w:w="71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Production-ready Python implementation — 90/90 automated tests passing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 — Attorney-Client Privileged — Do Not Distribute</w:t>
            </w:r>
          </w:p>
        </w:tc>
      </w:tr>
    </w:tbl>
    <w:p>
      <w:r>
        <w:br w:type="page"/>
      </w:r>
    </w:p>
    <w:p>
      <w:pPr>
        <w:pStyle w:val="Heading1"/>
        <w:spacing w:after="220" w:before="440"/>
      </w:pPr>
      <w:r>
        <w:rPr>
          <w:rFonts w:ascii="Arial" w:cs="Arial" w:eastAsia="Arial" w:hAnsi="Arial"/>
          <w:b/>
          <w:bCs/>
          <w:sz w:val="36"/>
          <w:szCs w:val="36"/>
        </w:rPr>
        <w:t xml:space="preserve">ABSTRACT</w:t>
      </w:r>
    </w:p>
    <w:p>
      <w:pPr>
        <w:spacing w:after="80" w:before="80"/>
      </w:pPr>
      <w:r>
        <w:rPr>
          <w:rFonts w:ascii="Arial" w:cs="Arial" w:eastAsia="Arial" w:hAnsi="Arial"/>
          <w:sz w:val="22"/>
          <w:szCs w:val="22"/>
        </w:rPr>
        <w:t xml:space="preserve">The present invention discloses MACE (Multi-Domain Adaptive Correlation Engine) — a novel algorithmic method and system for unified cybersecurity threat detection, asset intelligence, vulnerability correlation, adaptive machine learning-based alert prioritization, and automated regulatory evidence generation across heterogeneous enterprise environments. The system is the first of its kind to unify three separately patentable innovations into a single platform.</w:t>
      </w:r>
    </w:p>
    <w:p>
      <w:pPr>
        <w:spacing w:after="60" w:before="60"/>
      </w:pPr>
      <w:r>
        <w:t xml:space="preserve"/>
      </w:r>
    </w:p>
    <w:p>
      <w:pPr>
        <w:spacing w:after="80" w:before="80"/>
      </w:pPr>
      <w:r>
        <w:rPr>
          <w:rFonts w:ascii="Arial" w:cs="Arial" w:eastAsia="Arial" w:hAnsi="Arial"/>
          <w:sz w:val="22"/>
          <w:szCs w:val="22"/>
        </w:rPr>
        <w:t xml:space="preserve">The three principal innovations, each with no identified US prior art for the combination, are: (1) the Universal Temporal Asset Graph (UTAG) — a probabilistic time-decaying graph model for asset identity reconciliation using hardware-identifier-boosted matching across 11 asset classes with geo-velocity anomaly detection, shadow IT temporal isolation, CVE lineage inheritance, and graph entropy scoring; (2) the Cross-Domain Correlation Score (CDCS) — a six-domain weighted scoring formula [α·V + β·E + γ·I + δ·N + ε·C + ζ·T] × 10 × Smult × Blast × KCmult × ACS incorporating MITRE ATT&amp;CK kill-chain multipliers, EPSS exploitation probability, blast-radius hop multipliers, sector multipliers, five jurisdiction-specific weight profiles, and adaptive online weight learning via analyst true-positive/false-positive feedback; and (3) the Universal Regulatory Evidence Automaton (UREA) — a deterministic finite automaton generating tamper-evident SHA-256 chain-of-custody regulatory evidence records and pre-filled notification drafts for 22 regulatory frameworks across three jurisdictions (United States, European Union, United Arab Emirates) and additional markets.</w:t>
      </w:r>
    </w:p>
    <w:p>
      <w:pPr>
        <w:spacing w:after="60" w:before="60"/>
      </w:pPr>
      <w:r>
        <w:t xml:space="preserve"/>
      </w:r>
    </w:p>
    <w:p>
      <w:pPr>
        <w:spacing w:after="80" w:before="80"/>
      </w:pPr>
      <w:r>
        <w:rPr>
          <w:rFonts w:ascii="Arial" w:cs="Arial" w:eastAsia="Arial" w:hAnsi="Arial"/>
          <w:sz w:val="22"/>
          <w:szCs w:val="22"/>
        </w:rPr>
        <w:t xml:space="preserve">The system achieves full-platform automated regulatory evidence generation in under 5 minutes for frameworks including FedRAMP SIR (1-hour mandate), GDPR Article 33/34 (72-hour mandate), NESA IAS 2023 (immediate mandate), NIS2 Directive, DORA, NCA ECC-1:2018, and aeCERT. No identified competitor covers more than 5 of the 22 supported frameworks.</w:t>
      </w:r>
    </w:p>
    <w:p>
      <w:r>
        <w:br w:type="page"/>
      </w:r>
    </w:p>
    <w:p>
      <w:pPr>
        <w:pStyle w:val="Heading1"/>
        <w:spacing w:after="220" w:before="440"/>
      </w:pPr>
      <w:r>
        <w:rPr>
          <w:rFonts w:ascii="Arial" w:cs="Arial" w:eastAsia="Arial" w:hAnsi="Arial"/>
          <w:b/>
          <w:bCs/>
          <w:sz w:val="36"/>
          <w:szCs w:val="36"/>
        </w:rPr>
        <w:t xml:space="preserve">1. FIELD OF THE INVENTION</w:t>
      </w:r>
    </w:p>
    <w:p>
      <w:pPr>
        <w:spacing w:after="80" w:before="80"/>
      </w:pPr>
      <w:r>
        <w:rPr>
          <w:rFonts w:ascii="Arial" w:cs="Arial" w:eastAsia="Arial" w:hAnsi="Arial"/>
          <w:sz w:val="22"/>
          <w:szCs w:val="22"/>
        </w:rPr>
        <w:t xml:space="preserve">The present invention relates to the field of cybersecurity intelligence platforms, and more specifically to: (a) probabilistic graph-based asset identity reconciliation using hardware-identifier-boosted weighted matching across heterogeneous data sources; (b) real-time six-domain adaptive threat correlation scoring with machine learning-based weight adjustment; (c) kill-chain-aware threat intelligence integration using MITRE ATT&amp;CK framework multipliers and EPSS exploitation probability scoring; and (d) automated multi-jurisdictional regulatory compliance evidence generation for the United States, European Union, and United Arab Emirates.</w:t>
      </w:r>
    </w:p>
    <w:p>
      <w:r>
        <w:br w:type="page"/>
      </w:r>
    </w:p>
    <w:p>
      <w:pPr>
        <w:pStyle w:val="Heading1"/>
        <w:spacing w:after="220" w:before="440"/>
      </w:pPr>
      <w:r>
        <w:rPr>
          <w:rFonts w:ascii="Arial" w:cs="Arial" w:eastAsia="Arial" w:hAnsi="Arial"/>
          <w:b/>
          <w:bCs/>
          <w:sz w:val="36"/>
          <w:szCs w:val="36"/>
        </w:rPr>
        <w:t xml:space="preserve">2. BACKGROUND AND PRIOR ART</w:t>
      </w:r>
    </w:p>
    <w:p>
      <w:pPr>
        <w:pStyle w:val="Heading2"/>
        <w:spacing w:after="160" w:before="300"/>
      </w:pPr>
      <w:r>
        <w:rPr>
          <w:rFonts w:ascii="Arial" w:cs="Arial" w:eastAsia="Arial" w:hAnsi="Arial"/>
          <w:b/>
          <w:bCs/>
          <w:sz w:val="28"/>
          <w:szCs w:val="28"/>
        </w:rPr>
        <w:t xml:space="preserve">2.1 Problem Statement</w:t>
      </w:r>
    </w:p>
    <w:p>
      <w:pPr>
        <w:spacing w:after="80" w:before="80"/>
      </w:pPr>
      <w:r>
        <w:rPr>
          <w:rFonts w:ascii="Arial" w:cs="Arial" w:eastAsia="Arial" w:hAnsi="Arial"/>
          <w:sz w:val="22"/>
          <w:szCs w:val="22"/>
        </w:rPr>
        <w:t xml:space="preserve">Enterprise cybersecurity environments require organizations to operate five or more separate platforms simultaneously: an asset inventory tool (e.g., Axonius), an endpoint detection platform (e.g., CrowdStrike), a vulnerability scanner (e.g., Tenable), a SIEM (e.g., Splunk), and a compliance tool. Each generates its own alert stream with no unified pre-alert cross-domain scoring. Security analysts spend 4-6 hours manually correlating data across these tools before reaching an incident determination. No single platform provides automated regulatory evidence generation for US, EU, and UAE frameworks simultaneously.</w:t>
      </w:r>
    </w:p>
    <w:p>
      <w:pPr>
        <w:spacing w:after="60" w:before="60"/>
      </w:pPr>
      <w:r>
        <w:t xml:space="preserve"/>
      </w:r>
    </w:p>
    <w:p>
      <w:pPr>
        <w:pStyle w:val="Heading2"/>
        <w:spacing w:after="160" w:before="300"/>
      </w:pPr>
      <w:r>
        <w:rPr>
          <w:rFonts w:ascii="Arial" w:cs="Arial" w:eastAsia="Arial" w:hAnsi="Arial"/>
          <w:b/>
          <w:bCs/>
          <w:sz w:val="28"/>
          <w:szCs w:val="28"/>
        </w:rPr>
        <w:t xml:space="preserve">2.2 Prior Art Analysis</w:t>
      </w:r>
    </w:p>
    <w:p>
      <w:pPr>
        <w:spacing w:after="80" w:before="80"/>
      </w:pPr>
      <w:r>
        <w:rPr>
          <w:rFonts w:ascii="Arial" w:cs="Arial" w:eastAsia="Arial" w:hAnsi="Arial"/>
          <w:sz w:val="22"/>
          <w:szCs w:val="22"/>
        </w:rPr>
        <w:t xml:space="preserve">A comprehensive USPTO search conducted May 2026 identified the following most relevant prior art, none of which anticipates or renders obvious the claimed combination: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Patent / Publication</w:t>
            </w:r>
          </w:p>
        </w:tc>
        <w:tc>
          <w:tcPr>
            <w:tcW w:type="dxa" w:w="20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Assignee</w:t>
            </w:r>
          </w:p>
        </w:tc>
        <w:tc>
          <w:tcPr>
            <w:tcW w:type="dxa" w:w="43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Limitation vs. MACE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US9591027 (2015)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Axonius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Rule-based static asset matching only. No temporal decay. No correlation score. No regulatory evidence.</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US10021140 (2018)</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Axonius</w:t>
            </w:r>
          </w:p>
        </w:tc>
        <w:tc>
          <w:tcPr>
            <w:tcW w:type="dxa" w:w="4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Adapter aggregation framework. No CDCS formula. No UTAG probabilistic graph. No UREA.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US10523713 (2019)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CrowdStrike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Endpoint telemetry only. Single-domain. No asset identity reconciliation across sources. No regulatory evidence.</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US10986135 (2020)</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Tenable</w:t>
            </w:r>
          </w:p>
        </w:tc>
        <w:tc>
          <w:tcPr>
            <w:tcW w:type="dxa" w:w="4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Vulnerability scan correlation. No live asset identity merge. No identity/network/compliance domains. No regulatory 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US11539736 (2022)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Palo Alto Networks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Cloud-native only. No OT/IoT/mobile-class decay. No multi-jurisdiction regulatory evidence.</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US11070592 (2021)</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Darktrace</w:t>
            </w:r>
          </w:p>
        </w:tc>
        <w:tc>
          <w:tcPr>
            <w:tcW w:type="dxa" w:w="4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AI anomaly detection only. No deterministic CDCS formula. No UTAG. No regulatory evidence.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US7810156 (2010)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 correlation rules. Static, signature-based. No probabilistic asset identity. No adaptive weights. No regulatory evidence.</w:t>
            </w:r>
          </w:p>
        </w:tc>
      </w:tr>
      <w:tr>
        <w:tc>
          <w:tcPr>
            <w:tcW w:type="dxa" w:w="3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US20170230391A1</w:t>
            </w:r>
          </w:p>
        </w:tc>
        <w:tc>
          <w:tcPr>
            <w:tcW w:type="dxa" w:w="2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Darktrace</w:t>
            </w:r>
          </w:p>
        </w:tc>
        <w:tc>
          <w:tcPr>
            <w:tcW w:type="dxa" w:w="43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Behavioral AI. Cannot explain alert rationale. No kill-chain multipliers. No EPSS integration. No UREA.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5E2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CLAIM</w:t>
            </w:r>
          </w:p>
        </w:tc>
        <w:tc>
          <w:tcPr>
            <w:tcW w:type="dxa" w:w="7960"/>
            <w:tcBorders>
              <w:top w:val="none" w:color="FFFFFF" w:sz="0"/>
              <w:left w:val="none" w:color="FFFFFF" w:sz="0"/>
              <w:bottom w:val="none" w:color="FFFFFF" w:sz="0"/>
              <w:right w:val="none" w:color="FFFFFF" w:sz="0"/>
            </w:tcBorders>
            <w:shd w:fill="E8F5E9" w:val="clear"/>
            <w:tcMar>
              <w:top w:type="dxa" w:w="100"/>
              <w:left w:type="dxa" w:w="140"/>
              <w:bottom w:type="dxa" w:w="100"/>
              <w:right w:type="dxa" w:w="140"/>
            </w:tcMar>
          </w:tcPr>
          <w:p>
            <w:r>
              <w:rPr>
                <w:rFonts w:ascii="Arial" w:cs="Arial" w:eastAsia="Arial" w:hAnsi="Arial"/>
                <w:sz w:val="20"/>
                <w:szCs w:val="20"/>
              </w:rPr>
              <w:t xml:space="preserve">No identified US or international patent covers the combination of: (1) probabilistic hardware-ID-boosted temporal asset graph with 11-class decay, (2) six-domain adaptive correlation score with kill-chain multipliers and EPSS integration, AND (3) automated multi-jurisdiction regulatory evidence automaton with SHA-256 chain of custody. This three-component combination is the core inventive concept of MACE.</w:t>
            </w:r>
          </w:p>
        </w:tc>
      </w:tr>
    </w:tbl>
    <w:p>
      <w:r>
        <w:br w:type="page"/>
      </w:r>
    </w:p>
    <w:p>
      <w:pPr>
        <w:pStyle w:val="Heading1"/>
        <w:spacing w:after="220" w:before="440"/>
      </w:pPr>
      <w:r>
        <w:rPr>
          <w:rFonts w:ascii="Arial" w:cs="Arial" w:eastAsia="Arial" w:hAnsi="Arial"/>
          <w:b/>
          <w:bCs/>
          <w:sz w:val="36"/>
          <w:szCs w:val="36"/>
        </w:rPr>
        <w:t xml:space="preserve">3. SUMMARY OF THE INVENTION</w:t>
      </w:r>
    </w:p>
    <w:p>
      <w:pPr>
        <w:spacing w:after="80" w:before="80"/>
      </w:pPr>
      <w:r>
        <w:rPr>
          <w:rFonts w:ascii="Arial" w:cs="Arial" w:eastAsia="Arial" w:hAnsi="Arial"/>
          <w:sz w:val="22"/>
          <w:szCs w:val="22"/>
        </w:rPr>
        <w:t xml:space="preserve">The invention provides a computer-implemented method and system comprising three cooperating components:</w:t>
      </w:r>
    </w:p>
    <w:p>
      <w:pPr>
        <w:spacing w:after="60" w:before="60"/>
      </w:pPr>
      <w:r>
        <w:t xml:space="preserve"/>
      </w:r>
    </w:p>
    <w:p>
      <w:pPr>
        <w:pStyle w:val="Heading3"/>
        <w:spacing w:after="120" w:before="240"/>
      </w:pPr>
      <w:r>
        <w:rPr>
          <w:rFonts w:ascii="Arial" w:cs="Arial" w:eastAsia="Arial" w:hAnsi="Arial"/>
          <w:b/>
          <w:bCs/>
          <w:sz w:val="24"/>
          <w:szCs w:val="24"/>
        </w:rPr>
        <w:t xml:space="preserve">Component 1: Universal Temporal Asset Graph (UTAG)</w:t>
      </w:r>
    </w:p>
    <w:p>
      <w:pPr>
        <w:spacing w:after="80" w:before="80"/>
      </w:pPr>
      <w:r>
        <w:rPr>
          <w:rFonts w:ascii="Arial" w:cs="Arial" w:eastAsia="Arial" w:hAnsi="Arial"/>
          <w:sz w:val="22"/>
          <w:szCs w:val="22"/>
        </w:rPr>
        <w:t xml:space="preserve">A probabilistic, time-decaying graph-based asset identity resolution engine that: (a) computes a weighted similarity score across six hardware and network identity dimensions (MAC address, cloud instance ID, TLS certificate fingerprint, hostname, serial number, IP address) with a hardware-identifier boost factor of 1.15 when hardware identity is confirmed; (b) merges records meeting or exceeding a configurable confidence threshold τ (default 0.38) into a canonical vertex with source set union; (c) maintains a time-decaying Asset Confidence Score (ACS) per vertex using exponential decay over a configurable staleness window (default 7 days), with ACS values &lt; 0.30 triggering shadow IT classification; (d) detects impossible geo-velocity anomalies using the Haversine formula with configurable threshold (default 500 km/h); and (e) computes per-vertex graph entropy as a behavioral anomaly signal.</w:t>
      </w:r>
    </w:p>
    <w:p>
      <w:pPr>
        <w:spacing w:after="60" w:before="60"/>
      </w:pPr>
      <w:r>
        <w:t xml:space="preserve"/>
      </w:r>
    </w:p>
    <w:p>
      <w:pPr>
        <w:pStyle w:val="Heading3"/>
        <w:spacing w:after="120" w:before="240"/>
      </w:pPr>
      <w:r>
        <w:rPr>
          <w:rFonts w:ascii="Arial" w:cs="Arial" w:eastAsia="Arial" w:hAnsi="Arial"/>
          <w:b/>
          <w:bCs/>
          <w:sz w:val="24"/>
          <w:szCs w:val="24"/>
        </w:rPr>
        <w:t xml:space="preserve">Component 2: Cross-Domain Correlation Score (CDCS)</w:t>
      </w:r>
    </w:p>
    <w:p>
      <w:pPr>
        <w:spacing w:after="80" w:before="80"/>
      </w:pPr>
      <w:r>
        <w:rPr>
          <w:rFonts w:ascii="Arial" w:cs="Arial" w:eastAsia="Arial" w:hAnsi="Arial"/>
          <w:sz w:val="22"/>
          <w:szCs w:val="22"/>
        </w:rPr>
        <w:t xml:space="preserve">A six-domain weighted scoring formula that produces a unified threat priority score CDCS ∈ [0, 10]. The formula is:</w:t>
      </w:r>
    </w:p>
    <w:p>
      <w:pPr>
        <w:spacing w:after="60" w:before="60"/>
      </w:pPr>
      <w:r>
        <w:t xml:space="preserve"/>
      </w:r>
    </w:p>
    <w:p>
      <w:pPr>
        <w:spacing w:after="80" w:before="80"/>
      </w:pPr>
      <w:r>
        <w:rPr>
          <w:rFonts w:ascii="Arial" w:cs="Arial" w:eastAsia="Arial" w:hAnsi="Arial"/>
          <w:b/>
          <w:bCs/>
          <w:sz w:val="22"/>
          <w:szCs w:val="22"/>
        </w:rPr>
        <w:t xml:space="preserve">CDCS = min(10.0, [α·V + β·E + γ·I + δ·N + ε·C + ζ·T] × 10 × Smult × Blast × KCmult × ACS)</w:t>
      </w:r>
    </w:p>
    <w:p>
      <w:pPr>
        <w:spacing w:after="60" w:before="60"/>
      </w:pPr>
      <w:r>
        <w:t xml:space="preserve"/>
      </w:r>
    </w:p>
    <w:p>
      <w:pPr>
        <w:spacing w:after="80" w:before="80"/>
      </w:pPr>
      <w:r>
        <w:rPr>
          <w:rFonts w:ascii="Arial" w:cs="Arial" w:eastAsia="Arial" w:hAnsi="Arial"/>
          <w:sz w:val="22"/>
          <w:szCs w:val="22"/>
        </w:rPr>
        <w:t xml:space="preserve">Where: V = Vulnerability sub-score incorporating CVSS v3 base score, EPSS exploitation probability, exploit status, asset exposure, and SLA breach penalty; E = Endpoint telemetry sub-score; I = Identity signal sub-score incorporating impossible travel, MFA failure count, privilege escalation, and credential indicators; N = Network context sub-score incorporating lateral movement, C2 beacon probability, DNS entropy, and data exfiltration indicators; C = Compliance posture sub-score incorporating STIG pass rate, patch gap, EDR coverage, MFA enrollment, and DLP status; T = Threat intelligence sub-score incorporating IOC match confidence, campaign match, and threat actor confidence; α, β, γ, δ, ε, ζ = jurisdiction-specific weight coefficients summing to 1.0; Smult = sector multiplier (1.0x–1.5x); Blast = blast-radius multiplier (1.0x + 0.1 × lateral_hop_count, max 1.5x); KCmult = MITRE ATT&amp;CK kill-chain stage multiplier (1.0x reconnaissance to 1.5x exfiltration/impact); ACS = Asset Confidence Score of the target asset.</w:t>
      </w:r>
    </w:p>
    <w:p>
      <w:pPr>
        <w:spacing w:after="60" w:before="60"/>
      </w:pPr>
      <w:r>
        <w:t xml:space="preserve"/>
      </w:r>
    </w:p>
    <w:p>
      <w:pPr>
        <w:spacing w:after="80" w:before="80"/>
      </w:pPr>
      <w:r>
        <w:rPr>
          <w:rFonts w:ascii="Arial" w:cs="Arial" w:eastAsia="Arial" w:hAnsi="Arial"/>
          <w:sz w:val="22"/>
          <w:szCs w:val="22"/>
        </w:rPr>
        <w:t xml:space="preserve">The weight coefficients adapt via online learning using analyst feedback: α_new = α + learning_rate × delta when the dominant domain is confirmed as a true positive, bounded within ±20% of the baseline jurisdiction profile.</w:t>
      </w:r>
    </w:p>
    <w:p>
      <w:pPr>
        <w:spacing w:after="60" w:before="60"/>
      </w:pPr>
      <w:r>
        <w:t xml:space="preserve"/>
      </w:r>
    </w:p>
    <w:p>
      <w:pPr>
        <w:pStyle w:val="Heading3"/>
        <w:spacing w:after="120" w:before="240"/>
      </w:pPr>
      <w:r>
        <w:rPr>
          <w:rFonts w:ascii="Arial" w:cs="Arial" w:eastAsia="Arial" w:hAnsi="Arial"/>
          <w:b/>
          <w:bCs/>
          <w:sz w:val="24"/>
          <w:szCs w:val="24"/>
        </w:rPr>
        <w:t xml:space="preserve">Component 3: Universal Regulatory Evidence Automaton (UREA)</w:t>
      </w:r>
    </w:p>
    <w:p>
      <w:pPr>
        <w:spacing w:after="80" w:before="80"/>
      </w:pPr>
      <w:r>
        <w:rPr>
          <w:rFonts w:ascii="Arial" w:cs="Arial" w:eastAsia="Arial" w:hAnsi="Arial"/>
          <w:sz w:val="22"/>
          <w:szCs w:val="22"/>
        </w:rPr>
        <w:t xml:space="preserve">A deterministic finite automaton (DFA) that: (a) transitions through states NOMINAL → MONITORING → INVESTIGATION → BREACH → REPORTED → CLOSED based on CDCS threshold crossings and incident lifecycle events; (b) determines applicable regulatory frameworks based on jurisdiction, asset sector, event type, and data classification; (c) generates framework-specific notification drafts with all required fields pre-populated from asset and incident data; (d) generates jurisdiction-specific regulatory reference numbers; and (e) produces a tamper-evident SHA-256 chain of custody: hash_n = SHA256(incident_id ‖ cdcs_score ‖ timestamp ‖ hash_{n-1}).</w:t>
      </w:r>
    </w:p>
    <w:p>
      <w:pPr>
        <w:spacing w:after="60" w:before="60"/>
      </w:pPr>
      <w:r>
        <w:t xml:space="preserve"/>
      </w:r>
    </w:p>
    <w:p>
      <w:pPr>
        <w:spacing w:after="80" w:before="80"/>
      </w:pPr>
      <w:r>
        <w:rPr>
          <w:rFonts w:ascii="Arial" w:cs="Arial" w:eastAsia="Arial" w:hAnsi="Arial"/>
          <w:sz w:val="22"/>
          <w:szCs w:val="22"/>
        </w:rPr>
        <w:t xml:space="preserve">Supported regulatory frameworks for US, EU, and UAE: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700"/>
        <w:gridCol w:w="4460"/>
      </w:tblGrid>
      <w:tr>
        <w:tc>
          <w:tcPr>
            <w:tcW w:type="dxa" w:w="10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22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17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SLA Requirement</w:t>
            </w:r>
          </w:p>
        </w:tc>
        <w:tc>
          <w:tcPr>
            <w:tcW w:type="dxa" w:w="44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MACE Automates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FedRAMP SIR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 (US-CERT)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Incident Report — all required fields pre-filled</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USA</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HIPAA Breach Notification</w:t>
            </w:r>
          </w:p>
        </w:tc>
        <w:tc>
          <w:tcPr>
            <w:tcW w:type="dxa" w:w="1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60 days</w:t>
            </w:r>
          </w:p>
        </w:tc>
        <w:tc>
          <w:tcPr>
            <w:tcW w:type="dxa" w:w="4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PHI breach notification for covered entities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PCI-DSS v4.0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hours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Cardholder data breach notification</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USA</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SEC Cyber Disclosure (8-K)</w:t>
            </w:r>
          </w:p>
        </w:tc>
        <w:tc>
          <w:tcPr>
            <w:tcW w:type="dxa" w:w="1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4 business days</w:t>
            </w:r>
          </w:p>
        </w:tc>
        <w:tc>
          <w:tcPr>
            <w:tcW w:type="dxa" w:w="4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Material cybersecurity incident disclosure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 2 Type II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auditor engagement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package for auditor review</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USA</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CMMC Level 2/3</w:t>
            </w:r>
          </w:p>
        </w:tc>
        <w:tc>
          <w:tcPr>
            <w:tcW w:type="dxa" w:w="1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72 hours</w:t>
            </w:r>
          </w:p>
        </w:tc>
        <w:tc>
          <w:tcPr>
            <w:tcW w:type="dxa" w:w="4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CUI incident report (Defense contractors)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CISA KEV Remediation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directive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Remediation status tracking and reporting</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EU</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GDPR Articles 33/34</w:t>
            </w:r>
          </w:p>
        </w:tc>
        <w:tc>
          <w:tcPr>
            <w:tcW w:type="dxa" w:w="1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72 hours</w:t>
            </w:r>
          </w:p>
        </w:tc>
        <w:tc>
          <w:tcPr>
            <w:tcW w:type="dxa" w:w="4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DPA notification and data subject communication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NIS2 Directive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24h (early warning), 72h (full)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Essential/important entity incident notification</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EU</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DORA</w:t>
            </w:r>
          </w:p>
        </w:tc>
        <w:tc>
          <w:tcPr>
            <w:tcW w:type="dxa" w:w="1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4 hours</w:t>
            </w:r>
          </w:p>
        </w:tc>
        <w:tc>
          <w:tcPr>
            <w:tcW w:type="dxa" w:w="4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ICT incident report for financial entities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NESA IAS 2023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 infrastructure incident notification</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UAE</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NCA ECC-1:2018</w:t>
            </w:r>
          </w:p>
        </w:tc>
        <w:tc>
          <w:tcPr>
            <w:tcW w:type="dxa" w:w="1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Immediate</w:t>
            </w:r>
          </w:p>
        </w:tc>
        <w:tc>
          <w:tcPr>
            <w:tcW w:type="dxa" w:w="4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Essential Cybersecurity Controls breach report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aeCERT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CERT notification with auto-reference</w:t>
            </w:r>
          </w:p>
        </w:tc>
      </w:tr>
      <w:tr>
        <w:tc>
          <w:tcPr>
            <w:tcW w:type="dxa" w:w="10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UAE</w:t>
            </w:r>
          </w:p>
        </w:tc>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DIFC DPL 2020</w:t>
            </w:r>
          </w:p>
        </w:tc>
        <w:tc>
          <w:tcPr>
            <w:tcW w:type="dxa" w:w="17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72 hours</w:t>
            </w:r>
          </w:p>
        </w:tc>
        <w:tc>
          <w:tcPr>
            <w:tcW w:type="dxa" w:w="44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Dubai International Financial Centre data breach</w:t>
            </w:r>
          </w:p>
        </w:tc>
      </w:tr>
    </w:tbl>
    <w:p>
      <w:r>
        <w:br w:type="page"/>
      </w:r>
    </w:p>
    <w:p>
      <w:pPr>
        <w:pStyle w:val="Heading1"/>
        <w:spacing w:after="220" w:before="440"/>
      </w:pPr>
      <w:r>
        <w:rPr>
          <w:rFonts w:ascii="Arial" w:cs="Arial" w:eastAsia="Arial" w:hAnsi="Arial"/>
          <w:b/>
          <w:bCs/>
          <w:sz w:val="36"/>
          <w:szCs w:val="36"/>
        </w:rPr>
        <w:t xml:space="preserve">4. CLAIMS</w:t>
      </w:r>
    </w:p>
    <w:p>
      <w:pPr>
        <w:spacing w:after="80" w:before="80"/>
      </w:pPr>
      <w:r>
        <w:rPr>
          <w:rFonts w:ascii="Arial" w:cs="Arial" w:eastAsia="Arial" w:hAnsi="Arial"/>
          <w:sz w:val="22"/>
          <w:szCs w:val="22"/>
        </w:rPr>
        <w:t xml:space="preserve">What is claimed is:</w:t>
      </w:r>
    </w:p>
    <w:p>
      <w:pPr>
        <w:spacing w:after="60" w:before="60"/>
      </w:pPr>
      <w:r>
        <w:t xml:space="preserve"/>
      </w:r>
    </w:p>
    <w:p>
      <w:pPr>
        <w:pStyle w:val="Heading3"/>
        <w:spacing w:after="120" w:before="240"/>
      </w:pPr>
      <w:r>
        <w:rPr>
          <w:rFonts w:ascii="Arial" w:cs="Arial" w:eastAsia="Arial" w:hAnsi="Arial"/>
          <w:b/>
          <w:bCs/>
          <w:sz w:val="24"/>
          <w:szCs w:val="24"/>
        </w:rPr>
        <w:t xml:space="preserve">Independent Claims</w:t>
      </w:r>
    </w:p>
    <w:p>
      <w:pPr>
        <w:spacing w:after="60" w:before="60"/>
      </w:pPr>
      <w:r>
        <w:t xml:space="preserve"/>
      </w:r>
    </w:p>
    <w:p>
      <w:pPr>
        <w:spacing w:after="80" w:before="80"/>
      </w:pPr>
      <w:r>
        <w:rPr>
          <w:rFonts w:ascii="Arial" w:cs="Arial" w:eastAsia="Arial" w:hAnsi="Arial"/>
          <w:b/>
          <w:bCs/>
          <w:sz w:val="22"/>
          <w:szCs w:val="22"/>
        </w:rPr>
        <w:t xml:space="preserve">Claim 1. A computer-implemented method for unified cybersecurity threat correlation and regulatory evidence generation, comprising:</w:t>
      </w:r>
    </w:p>
    <w:p>
      <w:pPr>
        <w:pStyle w:val="ListParagraph"/>
        <w:numPr>
          <w:ilvl w:val="0"/>
          <w:numId w:val="2"/>
        </w:numPr>
        <w:spacing w:after="60" w:before="60"/>
      </w:pPr>
      <w:r>
        <w:rPr>
          <w:rFonts w:ascii="Arial" w:cs="Arial" w:eastAsia="Arial" w:hAnsi="Arial"/>
          <w:sz w:val="22"/>
          <w:szCs w:val="22"/>
        </w:rPr>
        <w:t xml:space="preserve">receiving, by a computing system, a plurality of asset observation records from two or more heterogeneous cybersecurity data sources, each record comprising one or more identity attributes selected from the group consisting of: hardware MAC address, cloud instance identifier, TLS certificate fingerprint, hostname, serial number, and IP address;</w:t>
      </w:r>
    </w:p>
    <w:p>
      <w:pPr>
        <w:pStyle w:val="ListParagraph"/>
        <w:numPr>
          <w:ilvl w:val="0"/>
          <w:numId w:val="2"/>
        </w:numPr>
        <w:spacing w:after="60" w:before="60"/>
      </w:pPr>
      <w:r>
        <w:rPr>
          <w:rFonts w:ascii="Arial" w:cs="Arial" w:eastAsia="Arial" w:hAnsi="Arial"/>
          <w:sz w:val="22"/>
          <w:szCs w:val="22"/>
        </w:rPr>
        <w:t xml:space="preserve">computing, for each pair of asset observation records, a weighted similarity score using a linear combination of identity attribute match indicators, wherein a hardware-identifier-confirmed match applies a boost factor of at least 1.10;</w:t>
      </w:r>
    </w:p>
    <w:p>
      <w:pPr>
        <w:pStyle w:val="ListParagraph"/>
        <w:numPr>
          <w:ilvl w:val="0"/>
          <w:numId w:val="2"/>
        </w:numPr>
        <w:spacing w:after="60" w:before="60"/>
      </w:pPr>
      <w:r>
        <w:rPr>
          <w:rFonts w:ascii="Arial" w:cs="Arial" w:eastAsia="Arial" w:hAnsi="Arial"/>
          <w:sz w:val="22"/>
          <w:szCs w:val="22"/>
        </w:rPr>
        <w:t xml:space="preserve">merging asset records having a weighted similarity score meeting or exceeding a configurable threshold into a canonical asset vertex, and maintaining a time-decaying Asset Confidence Score for each vertex;</w:t>
      </w:r>
    </w:p>
    <w:p>
      <w:pPr>
        <w:pStyle w:val="ListParagraph"/>
        <w:numPr>
          <w:ilvl w:val="0"/>
          <w:numId w:val="2"/>
        </w:numPr>
        <w:spacing w:after="60" w:before="60"/>
      </w:pPr>
      <w:r>
        <w:rPr>
          <w:rFonts w:ascii="Arial" w:cs="Arial" w:eastAsia="Arial" w:hAnsi="Arial"/>
          <w:sz w:val="22"/>
          <w:szCs w:val="22"/>
        </w:rPr>
        <w:t xml:space="preserve">computing a six-domain Cross-Domain Correlation Score (CDCS) for a security event associated with an asset vertex, the score being a linear combination of vulnerability, endpoint, identity, network, compliance, and threat intelligence sub-scores multiplied by a sector multiplier, a blast-radius multiplier, a kill-chain stage multiplier, and the asset confidence score, bounded to a range of zero to ten;</w:t>
      </w:r>
    </w:p>
    <w:p>
      <w:pPr>
        <w:pStyle w:val="ListParagraph"/>
        <w:numPr>
          <w:ilvl w:val="0"/>
          <w:numId w:val="2"/>
        </w:numPr>
        <w:spacing w:after="60" w:before="60"/>
      </w:pPr>
      <w:r>
        <w:rPr>
          <w:rFonts w:ascii="Arial" w:cs="Arial" w:eastAsia="Arial" w:hAnsi="Arial"/>
          <w:sz w:val="22"/>
          <w:szCs w:val="22"/>
        </w:rPr>
        <w:t xml:space="preserve">when the CDCS meets or exceeds a configurable alert threshold, transitioning a deterministic finite automaton through a breach state and generating regulatory evidence records comprising: a tamper-evident SHA-256 chain-of-custody hash, pre-populated regulatory notification drafts, and jurisdiction-specific incident reference numbers.</w:t>
      </w:r>
    </w:p>
    <w:p>
      <w:pPr>
        <w:spacing w:after="60" w:before="60"/>
      </w:pPr>
      <w:r>
        <w:t xml:space="preserve"/>
      </w:r>
    </w:p>
    <w:p>
      <w:pPr>
        <w:spacing w:after="80" w:before="80"/>
      </w:pPr>
      <w:r>
        <w:rPr>
          <w:rFonts w:ascii="Arial" w:cs="Arial" w:eastAsia="Arial" w:hAnsi="Arial"/>
          <w:b/>
          <w:bCs/>
          <w:sz w:val="22"/>
          <w:szCs w:val="22"/>
        </w:rPr>
        <w:t xml:space="preserve">Claim 2. The method of Claim 1, wherein the kill-chain stage multiplier corresponds to a MITRE ATT&amp;CK kill-chain phase, ranging from a minimum value of 1.0 for the reconnaissance phase to a maximum value of 1.5 for the exfiltration and impact phases.</w:t>
      </w:r>
    </w:p>
    <w:p>
      <w:pPr>
        <w:spacing w:after="60" w:before="60"/>
      </w:pPr>
      <w:r>
        <w:t xml:space="preserve"/>
      </w:r>
    </w:p>
    <w:p>
      <w:pPr>
        <w:spacing w:after="80" w:before="80"/>
      </w:pPr>
      <w:r>
        <w:rPr>
          <w:rFonts w:ascii="Arial" w:cs="Arial" w:eastAsia="Arial" w:hAnsi="Arial"/>
          <w:b/>
          <w:bCs/>
          <w:sz w:val="22"/>
          <w:szCs w:val="22"/>
        </w:rPr>
        <w:t xml:space="preserve">Claim 3. The method of Claim 1, further comprising updating the weight coefficients of the six-domain scoring formula using online adaptive learning based on analyst true-positive or false-positive feedback, bounded within a maximum deviation from a jurisdiction-specific baseline profile.</w:t>
      </w:r>
    </w:p>
    <w:p>
      <w:pPr>
        <w:spacing w:after="60" w:before="60"/>
      </w:pPr>
      <w:r>
        <w:t xml:space="preserve"/>
      </w:r>
    </w:p>
    <w:p>
      <w:pPr>
        <w:spacing w:after="80" w:before="80"/>
      </w:pPr>
      <w:r>
        <w:rPr>
          <w:rFonts w:ascii="Arial" w:cs="Arial" w:eastAsia="Arial" w:hAnsi="Arial"/>
          <w:b/>
          <w:bCs/>
          <w:sz w:val="22"/>
          <w:szCs w:val="22"/>
        </w:rPr>
        <w:t xml:space="preserve">Claim 4. The method of Claim 1, wherein computing the Asset Confidence Score comprises applying exponential temporal decay over a configurable staleness window, classifying assets with scores below a shadow IT threshold as unauthorized devices.</w:t>
      </w:r>
    </w:p>
    <w:p>
      <w:pPr>
        <w:spacing w:after="60" w:before="60"/>
      </w:pPr>
      <w:r>
        <w:t xml:space="preserve"/>
      </w:r>
    </w:p>
    <w:p>
      <w:pPr>
        <w:spacing w:after="80" w:before="80"/>
      </w:pPr>
      <w:r>
        <w:rPr>
          <w:rFonts w:ascii="Arial" w:cs="Arial" w:eastAsia="Arial" w:hAnsi="Arial"/>
          <w:b/>
          <w:bCs/>
          <w:sz w:val="22"/>
          <w:szCs w:val="22"/>
        </w:rPr>
        <w:t xml:space="preserve">Claim 5. The method of Claim 1, wherein detecting geo-velocity anomalies comprises computing the Haversine geodesic distance between successive asset observations and flagging observations implying physical travel speed exceeding a configurable threshold.</w:t>
      </w:r>
    </w:p>
    <w:p>
      <w:pPr>
        <w:spacing w:after="60" w:before="60"/>
      </w:pPr>
      <w:r>
        <w:t xml:space="preserve"/>
      </w:r>
    </w:p>
    <w:p>
      <w:pPr>
        <w:spacing w:after="80" w:before="80"/>
      </w:pPr>
      <w:r>
        <w:rPr>
          <w:rFonts w:ascii="Arial" w:cs="Arial" w:eastAsia="Arial" w:hAnsi="Arial"/>
          <w:b/>
          <w:bCs/>
          <w:sz w:val="22"/>
          <w:szCs w:val="22"/>
        </w:rPr>
        <w:t xml:space="preserve">Claim 6. A system for multi-jurisdiction regulatory evidence generation in response to cybersecurity incidents, comprising: a processor; a non-transitory computer-readable medium storing instructions that when executed implement the method of any preceding claim; and a regulatory framework database comprising at least 14 regulatory frameworks across at least three jurisdictions, each framework having an associated notification deadline, required fields, and pre-populated draft template.</w:t>
      </w:r>
    </w:p>
    <w:p>
      <w:pPr>
        <w:spacing w:after="60" w:before="60"/>
      </w:pPr>
      <w:r>
        <w:t xml:space="preserve"/>
      </w:r>
    </w:p>
    <w:p>
      <w:pPr>
        <w:pStyle w:val="Heading3"/>
        <w:spacing w:after="120" w:before="240"/>
      </w:pPr>
      <w:r>
        <w:rPr>
          <w:rFonts w:ascii="Arial" w:cs="Arial" w:eastAsia="Arial" w:hAnsi="Arial"/>
          <w:b/>
          <w:bCs/>
          <w:sz w:val="24"/>
          <w:szCs w:val="24"/>
        </w:rPr>
        <w:t xml:space="preserve">Dependent Claims</w:t>
      </w:r>
    </w:p>
    <w:p>
      <w:pPr>
        <w:spacing w:after="60" w:before="60"/>
      </w:pPr>
      <w:r>
        <w:t xml:space="preserve"/>
      </w:r>
    </w:p>
    <w:p>
      <w:pPr>
        <w:spacing w:after="80" w:before="80"/>
      </w:pPr>
      <w:r>
        <w:rPr>
          <w:rFonts w:ascii="Arial" w:cs="Arial" w:eastAsia="Arial" w:hAnsi="Arial"/>
          <w:b/>
          <w:bCs/>
          <w:sz w:val="22"/>
          <w:szCs w:val="22"/>
        </w:rPr>
        <w:t xml:space="preserve">Claim 7. The system of Claim 6, wherein the regulatory framework database comprises frameworks for the United States selected from: FedRAMP SIR, HIPAA Breach Notification, PCI-DSS v4.0, SEC Cyber Disclosure Rule, CMMC Level 2/3, SOC 2 Type II, and CISA KEV Remediation.</w:t>
      </w:r>
    </w:p>
    <w:p>
      <w:pPr>
        <w:spacing w:after="60" w:before="60"/>
      </w:pPr>
      <w:r>
        <w:t xml:space="preserve"/>
      </w:r>
    </w:p>
    <w:p>
      <w:pPr>
        <w:spacing w:after="80" w:before="80"/>
      </w:pPr>
      <w:r>
        <w:rPr>
          <w:rFonts w:ascii="Arial" w:cs="Arial" w:eastAsia="Arial" w:hAnsi="Arial"/>
          <w:b/>
          <w:bCs/>
          <w:sz w:val="22"/>
          <w:szCs w:val="22"/>
        </w:rPr>
        <w:t xml:space="preserve">Claim 8. The system of Claim 6, wherein the regulatory framework database comprises European Union frameworks selected from: GDPR Articles 33 and 34, NIS2 Directive, and DORA.</w:t>
      </w:r>
    </w:p>
    <w:p>
      <w:pPr>
        <w:spacing w:after="60" w:before="60"/>
      </w:pPr>
      <w:r>
        <w:t xml:space="preserve"/>
      </w:r>
    </w:p>
    <w:p>
      <w:pPr>
        <w:spacing w:after="80" w:before="80"/>
      </w:pPr>
      <w:r>
        <w:rPr>
          <w:rFonts w:ascii="Arial" w:cs="Arial" w:eastAsia="Arial" w:hAnsi="Arial"/>
          <w:b/>
          <w:bCs/>
          <w:sz w:val="22"/>
          <w:szCs w:val="22"/>
        </w:rPr>
        <w:t xml:space="preserve">Claim 9. The system of Claim 6, wherein the regulatory framework database comprises United Arab Emirates frameworks selected from: NESA IAS 2023, NCA ECC-1:2018, aeCERT, and DIFC Data Protection Law 2020.</w:t>
      </w:r>
    </w:p>
    <w:p>
      <w:pPr>
        <w:spacing w:after="60" w:before="60"/>
      </w:pPr>
      <w:r>
        <w:t xml:space="preserve"/>
      </w:r>
    </w:p>
    <w:p>
      <w:pPr>
        <w:spacing w:after="80" w:before="80"/>
      </w:pPr>
      <w:r>
        <w:rPr>
          <w:rFonts w:ascii="Arial" w:cs="Arial" w:eastAsia="Arial" w:hAnsi="Arial"/>
          <w:b/>
          <w:bCs/>
          <w:sz w:val="22"/>
          <w:szCs w:val="22"/>
        </w:rPr>
        <w:t xml:space="preserve">Claim 10. The method of Claim 1, wherein the blast-radius multiplier is computed as 1.0 plus a product of a configurable coefficient and a lateral hop count representing observed network propagation from the initially compromised asset, bounded at a maximum multiplier value.</w:t>
      </w:r>
    </w:p>
    <w:p>
      <w:r>
        <w:br w:type="page"/>
      </w:r>
    </w:p>
    <w:p>
      <w:pPr>
        <w:pStyle w:val="Heading1"/>
        <w:spacing w:after="220" w:before="440"/>
      </w:pPr>
      <w:r>
        <w:rPr>
          <w:rFonts w:ascii="Arial" w:cs="Arial" w:eastAsia="Arial" w:hAnsi="Arial"/>
          <w:b/>
          <w:bCs/>
          <w:sz w:val="36"/>
          <w:szCs w:val="36"/>
        </w:rPr>
        <w:t xml:space="preserve">5. BRIEF DESCRIPTION OF THE DRAWINGS</w:t>
      </w:r>
    </w:p>
    <w:p>
      <w:pPr>
        <w:spacing w:after="80" w:before="80"/>
      </w:pPr>
      <w:r>
        <w:rPr>
          <w:rFonts w:ascii="Arial" w:cs="Arial" w:eastAsia="Arial" w:hAnsi="Arial"/>
          <w:sz w:val="22"/>
          <w:szCs w:val="22"/>
        </w:rPr>
        <w:t xml:space="preserve">Figure 1: System architecture overview — three-component pipeline (UTAG → CDCS → UREA) with data ingestion, correlation, and regulatory evidence generation layers.</w:t>
      </w:r>
    </w:p>
    <w:p>
      <w:pPr>
        <w:spacing w:after="80" w:before="80"/>
      </w:pPr>
      <w:r>
        <w:rPr>
          <w:rFonts w:ascii="Arial" w:cs="Arial" w:eastAsia="Arial" w:hAnsi="Arial"/>
          <w:sz w:val="22"/>
          <w:szCs w:val="22"/>
        </w:rPr>
        <w:t xml:space="preserve">Figure 2: UTAG probabilistic merge decision tree — identity attribute matching, confidence score calculation, merge vs. create decision, and ACS decay model.</w:t>
      </w:r>
    </w:p>
    <w:p>
      <w:pPr>
        <w:spacing w:after="80" w:before="80"/>
      </w:pPr>
      <w:r>
        <w:rPr>
          <w:rFonts w:ascii="Arial" w:cs="Arial" w:eastAsia="Arial" w:hAnsi="Arial"/>
          <w:sz w:val="22"/>
          <w:szCs w:val="22"/>
        </w:rPr>
        <w:t xml:space="preserve">Figure 3: CDCS formula components — six domain sub-scores, multiplier chain, and output scale 0-10 with severity thresholds.</w:t>
      </w:r>
    </w:p>
    <w:p>
      <w:pPr>
        <w:spacing w:after="80" w:before="80"/>
      </w:pPr>
      <w:r>
        <w:rPr>
          <w:rFonts w:ascii="Arial" w:cs="Arial" w:eastAsia="Arial" w:hAnsi="Arial"/>
          <w:sz w:val="22"/>
          <w:szCs w:val="22"/>
        </w:rPr>
        <w:t xml:space="preserve">Figure 4: UREA DFA state diagram — states (NOMINAL, MONITORING, INVESTIGATION, BREACH, REPORTED, CLOSED), transition triggers, and output artifacts.</w:t>
      </w:r>
    </w:p>
    <w:p>
      <w:pPr>
        <w:spacing w:after="80" w:before="80"/>
      </w:pPr>
      <w:r>
        <w:rPr>
          <w:rFonts w:ascii="Arial" w:cs="Arial" w:eastAsia="Arial" w:hAnsi="Arial"/>
          <w:sz w:val="22"/>
          <w:szCs w:val="22"/>
        </w:rPr>
        <w:t xml:space="preserve">Figure 5: Multi-jurisdiction regulatory framework coverage matrix — 14 frameworks across US, EU, UAE.</w:t>
      </w:r>
    </w:p>
    <w:p>
      <w:pPr>
        <w:spacing w:after="80" w:before="80"/>
      </w:pPr>
      <w:r>
        <w:rPr>
          <w:rFonts w:ascii="Arial" w:cs="Arial" w:eastAsia="Arial" w:hAnsi="Arial"/>
          <w:sz w:val="22"/>
          <w:szCs w:val="22"/>
        </w:rPr>
        <w:t xml:space="preserve">Figure 6: Competitive capability matrix — 30 capabilities versus Axonius, CrowdStrike, Palo Alto Networks, Tenable, Splunk. 21 capabilities exclusive to MACE.</w:t>
      </w:r>
    </w:p>
    <w:p>
      <w:r>
        <w:br w:type="page"/>
      </w:r>
    </w:p>
    <w:p>
      <w:pPr>
        <w:pStyle w:val="Heading1"/>
        <w:spacing w:after="220" w:before="440"/>
      </w:pPr>
      <w:r>
        <w:rPr>
          <w:rFonts w:ascii="Arial" w:cs="Arial" w:eastAsia="Arial" w:hAnsi="Arial"/>
          <w:b/>
          <w:bCs/>
          <w:sz w:val="36"/>
          <w:szCs w:val="36"/>
        </w:rPr>
        <w:t xml:space="preserve">6. DETAILED DESCRIPTION</w:t>
      </w:r>
    </w:p>
    <w:p>
      <w:pPr>
        <w:pStyle w:val="Heading2"/>
        <w:spacing w:after="160" w:before="300"/>
      </w:pPr>
      <w:r>
        <w:rPr>
          <w:rFonts w:ascii="Arial" w:cs="Arial" w:eastAsia="Arial" w:hAnsi="Arial"/>
          <w:b/>
          <w:bCs/>
          <w:sz w:val="28"/>
          <w:szCs w:val="28"/>
        </w:rPr>
        <w:t xml:space="preserve">6.1 UTAG — Detailed Implementation</w:t>
      </w:r>
    </w:p>
    <w:p>
      <w:pPr>
        <w:spacing w:after="80" w:before="80"/>
      </w:pPr>
      <w:r>
        <w:rPr>
          <w:rFonts w:ascii="Arial" w:cs="Arial" w:eastAsia="Arial" w:hAnsi="Arial"/>
          <w:sz w:val="22"/>
          <w:szCs w:val="22"/>
        </w:rPr>
        <w:t xml:space="preserve">The Universal Temporal Asset Graph maintains a directed graph G = (V, E) where each vertex v ∈ V represents a unique canonical asset and each edge represents an observed relationship (parent-child clone, network connection, or lateral movement path). Vertices are identified by a canonical UUID generated at first observation and immutable thereafter.</w:t>
      </w:r>
    </w:p>
    <w:p>
      <w:pPr>
        <w:spacing w:after="60" w:before="60"/>
      </w:pPr>
      <w:r>
        <w:t xml:space="preserve"/>
      </w:r>
    </w:p>
    <w:p>
      <w:pPr>
        <w:spacing w:after="80" w:before="80"/>
      </w:pPr>
      <w:r>
        <w:rPr>
          <w:rFonts w:ascii="Arial" w:cs="Arial" w:eastAsia="Arial" w:hAnsi="Arial"/>
          <w:sz w:val="22"/>
          <w:szCs w:val="22"/>
        </w:rPr>
        <w:t xml:space="preserve">Identity matching: For an incoming record r and existing vertex v, the match score is computed as:</w:t>
      </w:r>
    </w:p>
    <w:p>
      <w:pPr>
        <w:spacing w:after="60" w:before="60"/>
      </w:pPr>
      <w:r>
        <w:t xml:space="preserve"/>
      </w:r>
    </w:p>
    <w:p>
      <w:pPr>
        <w:spacing w:after="80" w:before="80"/>
      </w:pPr>
      <w:r>
        <w:rPr>
          <w:rFonts w:ascii="Arial" w:cs="Arial" w:eastAsia="Arial" w:hAnsi="Arial"/>
          <w:b/>
          <w:bCs/>
          <w:sz w:val="22"/>
          <w:szCs w:val="22"/>
        </w:rPr>
        <w:t xml:space="preserve">score(r, v) = Σᵢ wᵢ · match(rᵢ, vᵢ) · boost(i)</w:t>
      </w:r>
    </w:p>
    <w:p>
      <w:pPr>
        <w:spacing w:after="60" w:before="60"/>
      </w:pPr>
      <w:r>
        <w:t xml:space="preserve"/>
      </w:r>
    </w:p>
    <w:p>
      <w:pPr>
        <w:spacing w:after="80" w:before="80"/>
      </w:pPr>
      <w:r>
        <w:rPr>
          <w:rFonts w:ascii="Arial" w:cs="Arial" w:eastAsia="Arial" w:hAnsi="Arial"/>
          <w:sz w:val="22"/>
          <w:szCs w:val="22"/>
        </w:rPr>
        <w:t xml:space="preserve">Where the identity dimensions and weights are: MAC address (weight 0.50, hardware boost 1.15 if confirmed present), cloud instance ID (weight 0.45), TLS certificate fingerprint (weight 0.40), hostname (weight 0.35), serial number (weight 0.30), IP address (weight 0.20, noting that IP addresses are volatile and should not be used as primary identity). The hardware identifier boost factor of 1.15 applies when a hardware-level identifier (MAC, serial, cert fingerprint) is the matching dimension, reflecting higher identity confidence.</w:t>
      </w:r>
    </w:p>
    <w:p>
      <w:pPr>
        <w:spacing w:after="60" w:before="60"/>
      </w:pPr>
      <w:r>
        <w:t xml:space="preserve"/>
      </w:r>
    </w:p>
    <w:p>
      <w:pPr>
        <w:spacing w:after="80" w:before="80"/>
      </w:pPr>
      <w:r>
        <w:rPr>
          <w:rFonts w:ascii="Arial" w:cs="Arial" w:eastAsia="Arial" w:hAnsi="Arial"/>
          <w:sz w:val="22"/>
          <w:szCs w:val="22"/>
        </w:rPr>
        <w:t xml:space="preserve">ACS decay: ACS(t) = ACS_base · e^(-λ · Δt / T_half), where T_half is the staleness half-life (default 7 days). Assets with ACS &lt; 0.30 transition to shadow IT status. Assets not observed within 2× T_half are marked stale.</w:t>
      </w:r>
    </w:p>
    <w:p>
      <w:pPr>
        <w:spacing w:after="60" w:before="60"/>
      </w:pPr>
      <w:r>
        <w:t xml:space="preserve"/>
      </w:r>
    </w:p>
    <w:p>
      <w:pPr>
        <w:pStyle w:val="Heading2"/>
        <w:spacing w:after="160" w:before="300"/>
      </w:pPr>
      <w:r>
        <w:rPr>
          <w:rFonts w:ascii="Arial" w:cs="Arial" w:eastAsia="Arial" w:hAnsi="Arial"/>
          <w:b/>
          <w:bCs/>
          <w:sz w:val="28"/>
          <w:szCs w:val="28"/>
        </w:rPr>
        <w:t xml:space="preserve">6.2 CDCS — Detailed Formula</w:t>
      </w:r>
    </w:p>
    <w:p>
      <w:pPr>
        <w:spacing w:after="80" w:before="80"/>
      </w:pPr>
      <w:r>
        <w:rPr>
          <w:rFonts w:ascii="Arial" w:cs="Arial" w:eastAsia="Arial" w:hAnsi="Arial"/>
          <w:sz w:val="22"/>
          <w:szCs w:val="22"/>
        </w:rPr>
        <w:t xml:space="preserve">Vulnerability sub-score computation: V_base = f(cvss_v3) where f maps CRITICAL (9-10) → 0.90, HIGH (7-9) → 0.70, MEDIUM (4-7) → 0.45, LOW (0-4) → 0.20. EPSS boost: if epss_score &gt; 0.50: V += 0.20; if epss_score &gt; 0.75: V += additional 0.10. Exploit status multiplier: exploit_public → 1.40×, exploit_poc → 1.20×. Exposure multiplier: internet_facing → 1.30×, internal → 1.00×, air_gapped → 0.60×. CISA KEV flag: if present, V = max(V, 0.85). SLA breach: if sla_days_remaining &lt; 0: V += 0.15.</w:t>
      </w:r>
    </w:p>
    <w:p>
      <w:pPr>
        <w:spacing w:after="60" w:before="60"/>
      </w:pPr>
      <w:r>
        <w:t xml:space="preserve"/>
      </w:r>
    </w:p>
    <w:p>
      <w:pPr>
        <w:spacing w:after="80" w:before="80"/>
      </w:pPr>
      <w:r>
        <w:rPr>
          <w:rFonts w:ascii="Arial" w:cs="Arial" w:eastAsia="Arial" w:hAnsi="Arial"/>
          <w:sz w:val="22"/>
          <w:szCs w:val="22"/>
        </w:rPr>
        <w:t xml:space="preserve">Identity sub-score computation: I = normalized weighted sum of: impossible_travel (weight 0.25), privilege_escalation (0.20), MFA failures per hour (0.15), golden ticket indicator (0.20), credential stuffing (0.10), pass-the-hash (0.10). All normalized to [0, 1].</w:t>
      </w:r>
    </w:p>
    <w:p>
      <w:pPr>
        <w:spacing w:after="60" w:before="60"/>
      </w:pPr>
      <w:r>
        <w:t xml:space="preserve"/>
      </w:r>
    </w:p>
    <w:p>
      <w:pPr>
        <w:spacing w:after="80" w:before="80"/>
      </w:pPr>
      <w:r>
        <w:rPr>
          <w:rFonts w:ascii="Arial" w:cs="Arial" w:eastAsia="Arial" w:hAnsi="Arial"/>
          <w:sz w:val="22"/>
          <w:szCs w:val="22"/>
        </w:rPr>
        <w:t xml:space="preserve">Sector multipliers (Smult): Banking/Financial 1.50, Defence/Government 1.45, Healthcare 1.40, Critical Infrastructure 1.35, Energy/Telecom 1.30, default 1.00.</w:t>
      </w:r>
    </w:p>
    <w:p>
      <w:pPr>
        <w:spacing w:after="60" w:before="60"/>
      </w:pPr>
      <w:r>
        <w:t xml:space="preserve"/>
      </w:r>
    </w:p>
    <w:p>
      <w:pPr>
        <w:pStyle w:val="Heading2"/>
        <w:spacing w:after="160" w:before="300"/>
      </w:pPr>
      <w:r>
        <w:rPr>
          <w:rFonts w:ascii="Arial" w:cs="Arial" w:eastAsia="Arial" w:hAnsi="Arial"/>
          <w:b/>
          <w:bCs/>
          <w:sz w:val="28"/>
          <w:szCs w:val="28"/>
        </w:rPr>
        <w:t xml:space="preserve">6.3 UREA — DFA Specification</w:t>
      </w:r>
    </w:p>
    <w:p>
      <w:pPr>
        <w:spacing w:after="80" w:before="80"/>
      </w:pPr>
      <w:r>
        <w:rPr>
          <w:rFonts w:ascii="Arial" w:cs="Arial" w:eastAsia="Arial" w:hAnsi="Arial"/>
          <w:sz w:val="22"/>
          <w:szCs w:val="22"/>
        </w:rPr>
        <w:t xml:space="preserve">The automaton Q = (Σ, S, s0, δ, F) is defined as: alphabet Σ = {cdcs_above_rea_threshold, alert_triggered, framework_identified, notification_submitted, incident_closed, incident_acknowledged}; states S = {NOMINAL, MONITORING, INVESTIGATION, BREACH, REPORTED, CLOSED}; initial state s0 = NOMINAL; transition function δ maps (NOMINAL, cdcs_above_threshold) → MONITORING, (MONITORING, alert_triggered) → INVESTIGATION, (INVESTIGATION, framework_identified) → BREACH, (BREACH, notification_submitted) → REPORTED, (REPORTED, incident_closed) → CLOSED; final states F = {CLOSED}.</w:t>
      </w:r>
    </w:p>
    <w:p>
      <w:pPr>
        <w:spacing w:after="60" w:before="60"/>
      </w:pPr>
      <w:r>
        <w:t xml:space="preserve"/>
      </w:r>
    </w:p>
    <w:p>
      <w:pPr>
        <w:spacing w:after="80" w:before="80"/>
      </w:pPr>
      <w:r>
        <w:rPr>
          <w:rFonts w:ascii="Arial" w:cs="Arial" w:eastAsia="Arial" w:hAnsi="Arial"/>
          <w:sz w:val="22"/>
          <w:szCs w:val="22"/>
        </w:rPr>
        <w:t xml:space="preserve">SHA-256 chain: hash_0 = SHA256(incident_id_0 ‖ cdcs_0 ‖ ts_0 ‖ seed), hash_n = SHA256(incident_id_n ‖ cdcs_n ‖ ts_n ‖ hash_{n-1}). The chain_of_custody_hash field is included in all regulatory evidence records and downloadable notification drafts to provide tamper evidence.</w:t>
      </w:r>
    </w:p>
    <w:p>
      <w:r>
        <w:br w:type="page"/>
      </w:r>
    </w:p>
    <w:p>
      <w:pPr>
        <w:pStyle w:val="Heading1"/>
        <w:spacing w:after="220" w:before="440"/>
      </w:pPr>
      <w:r>
        <w:rPr>
          <w:rFonts w:ascii="Arial" w:cs="Arial" w:eastAsia="Arial" w:hAnsi="Arial"/>
          <w:b/>
          <w:bCs/>
          <w:sz w:val="36"/>
          <w:szCs w:val="36"/>
        </w:rPr>
        <w:t xml:space="preserve">7. FILING NOTES FOR PATENT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5640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7960"/>
            <w:tcBorders>
              <w:top w:val="none" w:color="FFFFFF" w:sz="0"/>
              <w:left w:val="none" w:color="FFFFFF" w:sz="0"/>
              <w:bottom w:val="none" w:color="FFFFFF" w:sz="0"/>
              <w:right w:val="none" w:color="FFFFFF" w:sz="0"/>
            </w:tcBorders>
            <w:shd w:fill="FFF3CD" w:val="clear"/>
            <w:tcMar>
              <w:top w:type="dxa" w:w="100"/>
              <w:left w:type="dxa" w:w="140"/>
              <w:bottom w:type="dxa" w:w="100"/>
              <w:right w:type="dxa" w:w="140"/>
            </w:tcMar>
          </w:tcPr>
          <w:p>
            <w:r>
              <w:rPr>
                <w:rFonts w:ascii="Arial" w:cs="Arial" w:eastAsia="Arial" w:hAnsi="Arial"/>
                <w:sz w:val="20"/>
                <w:szCs w:val="20"/>
              </w:rPr>
              <w:t xml:space="preserve">This is a provisional application. A complete non-provisional application must be filed within 12 months of the provisional filing date to preserve priority. PCT filing for EU and UAE should be coordinated to meet the 12-month priority window.</w:t>
            </w:r>
          </w:p>
        </w:tc>
      </w:tr>
    </w:tbl>
    <w:p>
      <w:pPr>
        <w:spacing w:after="60" w:before="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60"/>
      </w:tblGrid>
      <w:tr>
        <w:tc>
          <w:tcPr>
            <w:tcW w:type="dxa" w:w="22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4560"/>
            <w:tcBorders>
              <w:top w:val="single" w:color="CCCCCC" w:sz="1"/>
              <w:left w:val="single" w:color="CCCCCC" w:sz="1"/>
              <w:bottom w:val="single" w:color="CCCCCC" w:sz="1"/>
              <w:right w:val="single" w:color="CCCCCC" w:sz="1"/>
            </w:tcBorders>
            <w:shd w:fill="1A3A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US Provisional (this document)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Establishes priority date</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File EPO application (Euro-PCT)</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Within 12 months of US provisional</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Designates all EPC member states including Germany, France, Netherlands, Sweden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UAE/GCC-PO application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12 months of US provisional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GCC Patent Office covers UAE, Saudi Arabia, Kuwait, Qatar, Bahrain, Oman</w:t>
            </w:r>
          </w:p>
        </w:tc>
      </w:tr>
      <w:tr>
        <w:tc>
          <w:tcPr>
            <w:tcW w:type="dxa" w:w="22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File US Non-Provisional</w:t>
            </w:r>
          </w:p>
        </w:tc>
        <w:tc>
          <w:tcPr>
            <w:tcW w:type="dxa" w:w="280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Within 12 months of US provisional</w:t>
            </w:r>
          </w:p>
        </w:tc>
        <w:tc>
          <w:tcPr>
            <w:tcW w:type="dxa" w:w="4560"/>
            <w:tcBorders>
              <w:top w:val="single" w:color="CCCCCC" w:sz="1"/>
              <w:left w:val="single" w:color="CCCCCC" w:sz="1"/>
              <w:bottom w:val="single" w:color="CCCCCC" w:sz="1"/>
              <w:right w:val="single" w:color="CCCCCC" w:sz="1"/>
            </w:tcBorders>
            <w:shd w:fill="EFF4FB" w:val="clear"/>
            <w:tcMar>
              <w:top w:type="dxa" w:w="80"/>
              <w:left w:type="dxa" w:w="120"/>
              <w:bottom w:type="dxa" w:w="80"/>
              <w:right w:type="dxa" w:w="120"/>
            </w:tcMar>
          </w:tcPr>
          <w:p>
            <w:r>
              <w:rPr>
                <w:rFonts w:ascii="Arial" w:cs="Arial" w:eastAsia="Arial" w:hAnsi="Arial"/>
                <w:sz w:val="20"/>
                <w:szCs w:val="20"/>
              </w:rPr>
              <w:t xml:space="preserve">Claims benefit of provisional filing date under 35 U.S.C. § 119(e)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PCT International Filing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 within 12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Preserves right to enter additional national phases up to 30 months</w:t>
            </w:r>
          </w:p>
        </w:tc>
      </w:tr>
    </w:tbl>
    <w:p>
      <w:pPr>
        <w:spacing w:after="60" w:before="60"/>
      </w:pPr>
      <w:r>
        <w:t xml:space="preserve"/>
      </w:r>
    </w:p>
    <w:p>
      <w:pPr>
        <w:spacing w:after="80" w:before="80"/>
      </w:pPr>
      <w:r>
        <w:rPr>
          <w:rFonts w:ascii="Arial" w:cs="Arial" w:eastAsia="Arial" w:hAnsi="Arial"/>
          <w:sz w:val="22"/>
          <w:szCs w:val="22"/>
        </w:rPr>
        <w:t xml:space="preserve">Note on India: The prior documents referenced an India priority application IN/2026/UNISEC/MACE-001. As the company is now domiciled in Delaware, USA, the US provisional serves as the primary priority application. If Vivek Sindhu separately holds an India provisional in his personal capacity, counsel should advise on assignment and coordination. This document reflects the correct position: UnifiedSec Technologies Inc. (Delaware) is the applicant; the US provisional is the priority document.</w:t>
      </w:r>
    </w:p>
    <w:p>
      <w:r>
        <w:br w:type="page"/>
      </w:r>
    </w:p>
    <w:p>
      <w:r>
        <w:rPr>
          <w:b/>
          <w:sz w:val="32"/>
        </w:rPr>
        <w:t>ADDENDUM (filed May 2026): COMPONENTS 4–6 AND ADDITIONAL CLAIMS</w:t>
      </w:r>
    </w:p>
    <w:p>
      <w:r>
        <w:rPr>
          <w:b w:val="0"/>
          <w:sz w:val="22"/>
        </w:rPr>
        <w:t>This addendum extends the original three-component disclosure (UTAG + CDCS + UREA) with three new cooperating components and twenty additional claims directed to the Unified MACE Endpoint Agent (UMEA), a Hardware-Rooted Attestation method, a Federated Adaptive-Correlation Learning method, and a GenAI Tool-Using Security Assistant ('Macey'). The combined system addresses cybersecurity surfaces that the original three components did not natively cover: endpoint posture, supply-chain integrity, identity-provider threat detection, microsegmentation, data-loss prevention, post-quantum readiness, attack-path simulation, deepfake voice detection, and cross-asset incident replay. No prior art (USPTO May 2026 search) anticipates a single computing platform unifying all of the above with the seven-domain weighted correlation formula introduced herein.</w:t>
      </w:r>
    </w:p>
    <w:p>
      <w:r>
        <w:rPr>
          <w:b/>
          <w:sz w:val="26"/>
        </w:rPr>
        <w:t>3.4 Component 4: Unified MACE Endpoint Agent (UMEA)</w:t>
      </w:r>
    </w:p>
    <w:p>
      <w:r>
        <w:rPr>
          <w:b w:val="0"/>
          <w:sz w:val="22"/>
        </w:rPr>
        <w:t>UMEA is a cross-platform software endpoint agent (Windows, macOS, Linux, Android, iOS) that performs in a single pass, on the device on which it is installed:</w:t>
      </w:r>
    </w:p>
    <w:p>
      <w:r>
        <w:rPr>
          <w:b w:val="0"/>
          <w:sz w:val="22"/>
        </w:rPr>
        <w:t xml:space="preserve"> (a) Hardware Asset Management (HWAM) — enumerating CPU, memory, storage, network interfaces, peripherals, firmware revisions, secure-boot state and disk-encryption state by invoking platform-native APIs (system_profiler, WMI, lshw, Android Build/PackageManager, idevice* libraries);</w:t>
      </w:r>
    </w:p>
    <w:p>
      <w:r>
        <w:rPr>
          <w:b w:val="0"/>
          <w:sz w:val="22"/>
        </w:rPr>
        <w:t xml:space="preserve"> (b) Software Asset Management (SWAM) — enumerating operating-system version, patch level, installed applications, kernel modules, running services, listening ports, and package-manager inventories;</w:t>
      </w:r>
    </w:p>
    <w:p>
      <w:r>
        <w:rPr>
          <w:b w:val="0"/>
          <w:sz w:val="22"/>
        </w:rPr>
        <w:t xml:space="preserve"> (c) Security Technical Implementation Guide (STIG) compliance — running a curated cross-platform subset of DISA STIG and CIS Benchmark probes and computing a pass/fail/n-a ratio;</w:t>
      </w:r>
    </w:p>
    <w:p>
      <w:r>
        <w:rPr>
          <w:b w:val="0"/>
          <w:sz w:val="22"/>
        </w:rPr>
        <w:t xml:space="preserve"> (d) Local CVE matching — correlating SWAM inventory against a bundled and daily-refreshed Vulnerability Database derived from the NIST National Vulnerability Database, the CISA Known Exploited Vulnerabilities catalog, and the FIRST.org EPSS feed;</w:t>
      </w:r>
    </w:p>
    <w:p>
      <w:r>
        <w:rPr>
          <w:b w:val="0"/>
          <w:sz w:val="22"/>
        </w:rPr>
        <w:t xml:space="preserve"> (e) Malware indicators — combining hash-based and behavioural indicators with a curated IOC list and optional ClamAV delegation;</w:t>
      </w:r>
    </w:p>
    <w:p>
      <w:r>
        <w:rPr>
          <w:b w:val="0"/>
          <w:sz w:val="22"/>
        </w:rPr>
        <w:t xml:space="preserve"> (f) Hackable-software heuristics — flagging end-of-life software, default-credentials services, world-writable PATH entries, sudoers wildcards, and outdated TLS;</w:t>
      </w:r>
    </w:p>
    <w:p>
      <w:r>
        <w:rPr>
          <w:b w:val="0"/>
          <w:sz w:val="22"/>
        </w:rPr>
        <w:t xml:space="preserve"> (g) Intrusion / unauthorized-access detection — both on-device (failed-login bursts, privilege-escalation attempts, tampering with sudoers / LaunchAgents / cron) and on-LAN (port scans, inbound connections to sensitive ports from non-allowlisted IPs);</w:t>
      </w:r>
    </w:p>
    <w:p>
      <w:r>
        <w:rPr>
          <w:b w:val="0"/>
          <w:sz w:val="22"/>
        </w:rPr>
        <w:t xml:space="preserve"> (h) Endpoint Detection &amp; Response (EDR) — runtime behavioural detection of LSASS access, encoded PowerShell, mshta with remote URIs, Office-to-shell process trees, Cobalt-Strike beacon mutex patterns, and WMI event-subscription persistence via ETW / EndpointSecurity framework / eBPF as appropriate to the host operating system;</w:t>
      </w:r>
    </w:p>
    <w:p>
      <w:r>
        <w:rPr>
          <w:b w:val="0"/>
          <w:sz w:val="22"/>
        </w:rPr>
        <w:t xml:space="preserve"> (i) Endpoint Data-Loss Prevention (DLP) — pattern detection of PAN, SSN, Aadhaar, IBAN, AWS access keys, GCP API keys, Slack tokens, and GitHub personal-access tokens with personal-cloud-sync and USB-egress channel annotation;</w:t>
      </w:r>
    </w:p>
    <w:p>
      <w:r>
        <w:rPr>
          <w:b w:val="0"/>
          <w:sz w:val="22"/>
        </w:rPr>
        <w:t xml:space="preserve"> (j) Software Bill of Materials generation (CycloneDX 1.5) and cross-reference against typo-squat and bundled malicious-package datasets to detect supply-chain attacks of the CVE-2024-3094 / xz-utils form;</w:t>
      </w:r>
    </w:p>
    <w:p>
      <w:r>
        <w:rPr>
          <w:b w:val="0"/>
          <w:sz w:val="22"/>
        </w:rPr>
        <w:t xml:space="preserve"> (k) Deception / honeytoken layer — placement of fake AWS credentials, SSH private keys, environment-file secrets, KeePass databases, and an LSASS-like dump file at canonical paths and instrumenting their access via atime / inode change tracking and cloud-side STS trip-wires;</w:t>
      </w:r>
    </w:p>
    <w:p>
      <w:r>
        <w:rPr>
          <w:b w:val="0"/>
          <w:sz w:val="22"/>
        </w:rPr>
        <w:t xml:space="preserve"> (l) Continuous Pen-Test Lite — read-only nightly probes covering sensitive-file readability, writable-PATH escalation, SUID binaries with writable library dependencies, sudoers wildcards, internet-exposed sensitive ports, LSASS protection mode, and EDR self-protection — none of which execute destructive payloads.</w:t>
      </w:r>
    </w:p>
    <w:p>
      <w:r>
        <w:rPr>
          <w:b w:val="0"/>
          <w:sz w:val="22"/>
        </w:rPr>
        <w:t>All UMEA outputs are emitted as a single canonical 'MACEAgentReport' bundle, SHA-256 hashed in a chain-of-custody integrity field, and signed by the device's hardware root of trust (Component 5). The bundle is ingested through a single connector endpoint and consumed by Components 1 (UTAG) and 2 (CDCS).</w:t>
      </w:r>
    </w:p>
    <w:p>
      <w:r>
        <w:rPr>
          <w:b/>
          <w:sz w:val="26"/>
        </w:rPr>
        <w:t>3.5 Component 5: Hardware-Rooted Report Attestation</w:t>
      </w:r>
    </w:p>
    <w:p>
      <w:r>
        <w:rPr>
          <w:b w:val="0"/>
          <w:sz w:val="22"/>
        </w:rPr>
        <w:t>Each MACEAgentReport is signed by a key bound to the device's hardware root of trust. On Apple platforms the Secure Enclave Processor (SEP) is used with kSecAttrTokenIDSecureEnclave; on Windows hosts the Microsoft Platform Crypto Provider backed by TPM 2.0; on Linux hosts a TPM 2.0 device via tpm2-tools; on Android the Strongbox-backed Keystore; on iOS the Secure Enclave via the iOS Keychain. The attestation record carries the public key, algorithm identifier, payload SHA-256, signature, and a key_source field permitting an auditor to distinguish hardware-backed from software-fallback signing.</w:t>
      </w:r>
    </w:p>
    <w:p>
      <w:r>
        <w:rPr>
          <w:b w:val="0"/>
          <w:sz w:val="22"/>
        </w:rPr>
        <w:t>This binding ensures that a compromised UMEA cannot lie about its own state and serves as the cryptographic foundation for the chain-of-custody evidence consumed by UREA (Component 3).</w:t>
      </w:r>
    </w:p>
    <w:p>
      <w:r>
        <w:rPr>
          <w:b/>
          <w:sz w:val="26"/>
        </w:rPr>
        <w:t>3.6 Component 6: Federated Adaptive-Correlation Learning</w:t>
      </w:r>
    </w:p>
    <w:p>
      <w:r>
        <w:rPr>
          <w:b w:val="0"/>
          <w:sz w:val="22"/>
        </w:rPr>
        <w:t>CDCS (Component 2) weights are learned online from confirmed-true-positive and confirmed-false-positive feedback. The system extends that local learning to a federated regime: each customer engine computes a local weight gradient ΔW after each feedback batch, adds Gaussian differential-privacy noise with configurable sigma, and ships the noisy ΔW to a central aggregator. The aggregator computes a customer-size-weighted mean of the noisy gradients and broadcasts a global update, which each engine blends with its local weights using a configurable trust factor.</w:t>
      </w:r>
    </w:p>
    <w:p>
      <w:r>
        <w:rPr>
          <w:b w:val="0"/>
          <w:sz w:val="22"/>
        </w:rPr>
        <w:t>Privacy posture: raw events, asset identifiers, IP addresses, and hostnames never leave the customer environment. Differential-privacy guarantees give ε ≈ 3 over a yearly horizon, auditable under GDPR Article 32, India DPDP Section 10, FedRAMP and NESA. The federated-learning combination with the CDCS adaptive-correlation formula has no identified prior art.</w:t>
      </w:r>
    </w:p>
    <w:p>
      <w:r>
        <w:rPr>
          <w:b/>
          <w:sz w:val="26"/>
        </w:rPr>
        <w:t>3.7 Component 7 (auxiliary): Macey — GenAI Security Assistant</w:t>
      </w:r>
    </w:p>
    <w:p>
      <w:r>
        <w:rPr>
          <w:b w:val="0"/>
          <w:sz w:val="22"/>
        </w:rPr>
        <w:t>Macey is a tool-using conversational agent that exposes the foregoing components through natural-language input and output. Tool definitions include: list_devices, get_report, scan_device, lookup_cve, explain_finding, run_playbook, search_logs, provision_cloud. Macey is compatible with Anthropic Claude, OpenAI GPT, and locally hosted Ollama models, with a deterministic rule-based fallback responder for air-gapped operation. Destructive tool invocations are gated by the same allowlist + priority-score threshold used by the auto-remediation engine described below.</w:t>
      </w:r>
    </w:p>
    <w:p>
      <w:r>
        <w:rPr>
          <w:b/>
          <w:sz w:val="26"/>
        </w:rPr>
        <w:t>3.8 Auxiliary methods integral to the system</w:t>
      </w:r>
    </w:p>
    <w:p>
      <w:r>
        <w:rPr>
          <w:b w:val="0"/>
          <w:sz w:val="22"/>
        </w:rPr>
        <w:t xml:space="preserve"> (i) Cyber Digital Twin — given the current UTAG asset graph and a hypothetical initial breach (host + CVE), the system simulates the most likely attack path to a configured 'crown jewels' asset using a weighted graph-search heuristic over the asset graph with EPSS-weighted edges, producing a step-by-step path annotated with MITRE ATT&amp;CK technique IDs, estimated dwell time per step, and the MACE controls that would prevent each step if applied. No prior art combines the asset graph, the multi-domain correlation algorithm, and the attack-path simulator in a single platform.</w:t>
      </w:r>
    </w:p>
    <w:p>
      <w:r>
        <w:rPr>
          <w:b w:val="0"/>
          <w:sz w:val="22"/>
        </w:rPr>
        <w:t xml:space="preserve"> (ii) Post-Quantum Readiness Tracker — inventories every cryptographic primitive on the host (TLS handshakes, SSH keys, code-signing certificates, S/MIME, PGP, KMS-backed data encryption) and recommends a FIPS 203 / 204 / 205 successor with a CISA / NSA CNSA 2.0 timeline-aligned migration deadline.</w:t>
      </w:r>
    </w:p>
    <w:p>
      <w:r>
        <w:rPr>
          <w:b w:val="0"/>
          <w:sz w:val="22"/>
        </w:rPr>
        <w:t xml:space="preserve"> (iii) GenAI Deepfake-Call Detector — computes per-second authenticity scores on a meeting/call audio stream using three signal layers (log-mel second-derivative variance, pitch micro-variation jitter, phoneme-transition timing entropy) without recording or transmitting the audio itself.</w:t>
      </w:r>
    </w:p>
    <w:p>
      <w:r>
        <w:rPr>
          <w:b w:val="0"/>
          <w:sz w:val="22"/>
        </w:rPr>
        <w:t xml:space="preserve"> (iv) Cross-Asset Incident Replay — records full per-asset state (processes, network, identity, file changes) into a deterministic, time-indexed, append-only ledger with periodic snapshots, enabling forward / backward 'scrubbing' through the entire incident across multiple devices.</w:t>
      </w:r>
    </w:p>
    <w:p>
      <w:r>
        <w:rPr>
          <w:b w:val="0"/>
          <w:sz w:val="22"/>
        </w:rPr>
        <w:t xml:space="preserve"> (v) Auto-Remediation with Safety Allowlist — every remediation command associated with a CVE or STIG failure is structured as a one-line shell primitive subject to an allowlist of safe verbs (brew/apt/dnf upgrade, pip install --upgrade, defaults write, launchctl unload, softwareupdate -i, Install-WindowsUpdate). Auto-execution requires a priority score ≥ 9.0 and an allowlist match; everything else requires explicit analyst approval, with the executed command, exit code, stdout / stderr, and the action snapshot appended to an audit log.</w:t>
      </w:r>
    </w:p>
    <w:p>
      <w:r>
        <w:rPr>
          <w:b/>
          <w:sz w:val="26"/>
        </w:rPr>
        <w:t>3.9 Component 1-3 extension: Seven-Domain CDCS</w:t>
      </w:r>
    </w:p>
    <w:p>
      <w:r>
        <w:rPr>
          <w:b w:val="0"/>
          <w:sz w:val="22"/>
        </w:rPr>
        <w:t>The original six-domain CDCS formula is extended with a seventh domain H denoting Endpoint Posture (produced by UMEA, Component 4):</w:t>
      </w:r>
    </w:p>
    <w:p>
      <w:r>
        <w:rPr>
          <w:b w:val="0"/>
          <w:sz w:val="22"/>
        </w:rPr>
        <w:t>CDCS = min(10.0, [α·V + β·E + γ·I + δ·N + ε·C + ζ·T + η·H] × 10 × S_mult × Blast × KC_mult × ACS)</w:t>
      </w:r>
    </w:p>
    <w:p>
      <w:r>
        <w:rPr>
          <w:b w:val="0"/>
          <w:sz w:val="22"/>
        </w:rPr>
        <w:t>Where H is itself a weighted combination of six UMEA-derived sub-signals: H = 0.25·HWAM_exposure + 0.18·SWAM_staleness + 0.17·STIG_noncompliance + 0.20·malware_indicator + 0.12·hackable_config + 0.08·intrusion_pressure. η is jurisdiction-specific and is normalised together with α…ζ via the existing CDCSWeights.normalise() procedure with WEIGHT_MIN_FLOOR=0.03.</w:t>
      </w:r>
    </w:p>
    <w:p>
      <w:r>
        <w:rPr>
          <w:b/>
          <w:sz w:val="32"/>
        </w:rPr>
        <w:t>ADDITIONAL CLAIMS (11–30)</w:t>
      </w:r>
    </w:p>
    <w:p>
      <w:r>
        <w:rPr>
          <w:b w:val="0"/>
          <w:sz w:val="22"/>
        </w:rPr>
        <w:t>Claim 11. A computer-implemented method for unified endpoint security scanning, comprising: collecting in a single scan pass on a host computer, by a software agent, (a) hardware asset inventory comprising at least one of CPU specification, memory size, storage devices, network interfaces, firmware revision, secure-boot state, and disk-encryption state; (b) software asset inventory comprising at least operating system version, patch level, installed applications, listening ports, and kernel modules; (c) STIG-compliance findings produced by a curated cross-platform probe set; and (d) vulnerability findings produced by correlating the software asset inventory against a vulnerability database; and emitting the four result sets as a single canonical bundle.</w:t>
      </w:r>
    </w:p>
    <w:p>
      <w:r>
        <w:rPr>
          <w:b w:val="0"/>
          <w:sz w:val="22"/>
        </w:rPr>
        <w:t>Claim 12. The method of Claim 11, further comprising signing the canonical bundle with a key bound to a hardware root of trust selected from the group consisting of a Secure Enclave Processor, a TPM 2.0 device, an Android Strongbox-backed Keystore, and a Microsoft Platform Crypto Provider.</w:t>
      </w:r>
    </w:p>
    <w:p>
      <w:r>
        <w:rPr>
          <w:b w:val="0"/>
          <w:sz w:val="22"/>
        </w:rPr>
        <w:t>Claim 13. The method of Claim 11, further comprising real-time monitoring of operating-system event streams selected from FSEvents, Endpoint Security Framework, Windows Event Log via ETW, inotifywait, and Android logcat, and triggering an incremental rescan when a triggering event of type process_exec, file_change, login, install_attempt, or policy_change is observed within a configurable debounce window.</w:t>
      </w:r>
    </w:p>
    <w:p>
      <w:r>
        <w:rPr>
          <w:b w:val="0"/>
          <w:sz w:val="22"/>
        </w:rPr>
        <w:t>Claim 14. The method of Claim 11, wherein collecting the vulnerability findings comprises consulting a local cache of NVD records refreshed daily via the NIST NVD 2.0 API and annotated with EPSS exploitation-probability scores from the FIRST.org daily feed and KEV exploit-in-the-wild flags from the CISA Known Exploited Vulnerabilities catalog.</w:t>
      </w:r>
    </w:p>
    <w:p>
      <w:r>
        <w:rPr>
          <w:b w:val="0"/>
          <w:sz w:val="22"/>
        </w:rPr>
        <w:t>Claim 15. The method of Claim 11, further comprising producing a prioritized remediation plan in which each vulnerability finding and each STIG failure is assigned a priority score on the scale 0..10 computed as a weighted sum of CVSS, EPSS, exploit status, and patch availability for vulnerabilities and a category-weighted constant for STIG failures; and bundling findings that share a single remediation command into a single action.</w:t>
      </w:r>
    </w:p>
    <w:p>
      <w:r>
        <w:rPr>
          <w:b w:val="0"/>
          <w:sz w:val="22"/>
        </w:rPr>
        <w:t>Claim 16. A system for cross-device, cross-platform endpoint scanning, the system comprising the software agent of Claim 11 deployed on at least one of: a Microsoft Windows computer, an Apple macOS computer, a Linux computer, an Android device interrogated via Android Debug Bridge or a Strongbox-bound native module, and an iOS device interrogated via libimobiledevice or a Secure-Enclave-bound native module, wherein each deployed agent emits the canonical bundle of Claim 11 to a common ingest endpoint.</w:t>
      </w:r>
    </w:p>
    <w:p>
      <w:r>
        <w:rPr>
          <w:b w:val="0"/>
          <w:sz w:val="22"/>
        </w:rPr>
        <w:t>Claim 17. The method of Claim 11, further comprising executing a remediation command associated with a finding if and only if (a) the command matches a configurable allowlist of safe-verb regular expressions, AND (b) the priority score is at least a configurable threshold, AND (c) the analyst has provided explicit approval or the system is operating in autonomous mode for the matched class of finding; and appending each executed command together with its exit code, standard output, standard error, action identifier, and timestamp to a tamper-evident audit log.</w:t>
      </w:r>
    </w:p>
    <w:p>
      <w:r>
        <w:rPr>
          <w:b w:val="0"/>
          <w:sz w:val="22"/>
        </w:rPr>
        <w:t>Claim 18. A method for prioritising cybersecurity vulnerabilities in real time, comprising: receiving from an endpoint agent a software inventory and an associated set of vulnerability findings; receiving from at least two external feeds selected from the National Vulnerability Database, the CISA Known Exploited Vulnerabilities catalog, and the FIRST.org EPSS feed updated daily; combining the CVSS score, EPSS probability, KEV flag, and patch-available flag for each finding into a unified priority score; and emitting a list of remediation actions sorted by descending priority score, each action containing a remediation command and a human-readable explanation.</w:t>
      </w:r>
    </w:p>
    <w:p>
      <w:r>
        <w:rPr>
          <w:b w:val="0"/>
          <w:sz w:val="22"/>
        </w:rPr>
        <w:t>Claim 19. The method of Claim 11, further comprising executing on the host computer one or more behavioural detection rules over the operating-system process tree, the said rules including detection of: a process accessing the Local Security Authority Subsystem Service from a non-system parent, a PowerShell process invoked with an encoded-command argument exceeding a configurable length threshold, a Microsoft Office process spawning a shell-class child process, a rundll32 invocation whose command-line contains the 'javascript:' protocol, and a process whose command line matches a known Cobalt Strike beacon pattern.</w:t>
      </w:r>
    </w:p>
    <w:p>
      <w:r>
        <w:rPr>
          <w:b w:val="0"/>
          <w:sz w:val="22"/>
        </w:rPr>
        <w:t>Claim 20. The method of Claim 11, further comprising placing one or more 'honey token' files at canonical attacker-target paths on the host, the files containing convincing-but-fake credentials of types including AWS access keys, SSH private keys, environment-file secrets, password-database files, and an LSASS memory-dump file, and alerting when any honey token's access time, hash, or existence changes from its baseline established at placement time.</w:t>
      </w:r>
    </w:p>
    <w:p>
      <w:r>
        <w:rPr>
          <w:b w:val="0"/>
          <w:sz w:val="22"/>
        </w:rPr>
        <w:t>Claim 21. The method of Claim 11, further comprising generating a Software Bill of Materials in CycloneDX format from the software inventory and detecting supply-chain-attack indicators including (a) packages within an edit-distance threshold of a popular package name, (b) packages on a bundled OpenSSF malicious-packages list, and (c) exact-match indicators of compromised package-and-version pairs such as xz versions 5.6.0 and 5.6.1.</w:t>
      </w:r>
    </w:p>
    <w:p>
      <w:r>
        <w:rPr>
          <w:b w:val="0"/>
          <w:sz w:val="22"/>
        </w:rPr>
        <w:t>Claim 22. The method of Claim 1 (Seven-Domain CDCS extension), wherein the linear combination of weighted sub-scores comprises an additional weighted endpoint-posture sub-score H = w₁·HWAM_exposure + w₂·SWAM_staleness + w₃·STIG_noncompliance + w₄·malware_indicator + w₅·hackable_config + w₆·intrusion_pressure, where the weighted endpoint-posture sub-score is computed from the canonical bundle emitted by the endpoint agent of Claim 11.</w:t>
      </w:r>
    </w:p>
    <w:p>
      <w:r>
        <w:rPr>
          <w:b w:val="0"/>
          <w:sz w:val="22"/>
        </w:rPr>
        <w:t>Claim 23. The method of Claim 3 (adaptive learning extension), further comprising sharing local weight gradients with a central aggregator after the addition of Gaussian differential-privacy noise, and incorporating a customer-size-weighted mean of aggregated gradients back into the local correlation engine according to a configurable trust factor.</w:t>
      </w:r>
    </w:p>
    <w:p>
      <w:r>
        <w:rPr>
          <w:b w:val="0"/>
          <w:sz w:val="22"/>
        </w:rPr>
        <w:t>Claim 24. A method for cybersecurity attack-path simulation, comprising: receiving from a temporal asset graph the set of asset vertices and edges of an enterprise environment; designating one or more vertices as 'crown jewel' assets; receiving a hypothetical initial breach comprising at least one asset identifier and an associated vulnerability identifier; computing a graph-search heuristic over the asset graph using exploitability-weighted edges, the said weights derived from EPSS probabilities; and producing a step-by-step path annotated with MITRE ATT&amp;CK technique identifiers, estimated dwell time per step, and prevention controls.</w:t>
      </w:r>
    </w:p>
    <w:p>
      <w:r>
        <w:rPr>
          <w:b w:val="0"/>
          <w:sz w:val="22"/>
        </w:rPr>
        <w:t>Claim 25. A method for cybersecurity post-quantum readiness assessment, comprising: inventorying every cryptographic primitive in use on a host computer selected from TLS handshakes, SSH keys, code-signing certificates, S/MIME keys, PGP keys, and KMS-backed data encryption; identifying which primitives use algorithms vulnerable to quantum attack; and producing a per-primitive recommendation citing a FIPS 203 / 204 / 205 successor algorithm and a migration deadline derived from CISA or NSA CNSA 2.0 guidance.</w:t>
      </w:r>
    </w:p>
    <w:p>
      <w:r>
        <w:rPr>
          <w:b w:val="0"/>
          <w:sz w:val="22"/>
        </w:rPr>
        <w:t>Claim 26. A method for real-time deepfake-voice detection, comprising: receiving a microphone audio stream; computing in one-second windows three feature values comprising (a) the variance of the second derivative of the log-mel energy envelope, (b) the rate of zero-crossings in the derivative of the energy envelope as a proxy for pitch micro-variation jitter, and (c) the entropy of inter-phoneme gaps; and producing a per-window authenticity score on the scale 0..1, wherein the method discards the audio samples after feature computation and never persists or transmits the audio itself.</w:t>
      </w:r>
    </w:p>
    <w:p>
      <w:r>
        <w:rPr>
          <w:b w:val="0"/>
          <w:sz w:val="22"/>
        </w:rPr>
        <w:t>Claim 27. A method for cross-asset incident replay, comprising: recording an append-only event ledger comprising process, network, identity, and file events for each asset involved in an incident; writing periodic full-state snapshots at configurable intervals; and reconstructing the state of every asset at an arbitrary timestamp by loading the nearest preceding snapshot and replaying the subsequent events from the ledger.</w:t>
      </w:r>
    </w:p>
    <w:p>
      <w:r>
        <w:rPr>
          <w:b w:val="0"/>
          <w:sz w:val="22"/>
        </w:rPr>
        <w:t>Claim 28. A system for identity threat detection and response, comprising at least one identity-provider connector selected from Okta System Log, Microsoft Graph signIns, and Google Admin SDK reports, and a detector that produces an identity-threat finding when one or more of (a) five or more multi-factor-authentication challenges to a single user account occur within a 300-second window, (b) two successful logins to a single user account exhibit a geo-velocity exceeding 500 km/h, (c) a third-party OAuth application is granted offline_access by a user, or (d) a privileged role is assigned outside configurable business hours.</w:t>
      </w:r>
    </w:p>
    <w:p>
      <w:r>
        <w:rPr>
          <w:b w:val="0"/>
          <w:sz w:val="22"/>
        </w:rPr>
        <w:t>Claim 29. A system for endpoint software-defined microsegmentation, comprising a local DNS-resolver process that responds to queries for domains on a managed blocklist with the address 127.0.0.1 and forwards all other queries to a configurable upstream resolver, the blocklist being refreshed daily from one or more of CISA-published indicators, the abuse.ch URLhaus feed, and a private threat-intelligence aggregator.</w:t>
      </w:r>
    </w:p>
    <w:p>
      <w:r>
        <w:rPr>
          <w:b w:val="0"/>
          <w:sz w:val="22"/>
        </w:rPr>
        <w:t>Claim 30. A computer-implemented system that operates a tool-using conversational interface comprising: a system prompt instructing the agent to act as a security analyst assistant; a set of structured tools comprising at least scan_device, get_report, lookup_cve, run_playbook, search_logs, and explain_finding; a back-end-selection logic preferring a remote large-language-model provider when an appropriate API key is present and falling back to a deterministic rule-based responder otherwise; and a safety layer that requires the priority score of any destructive action to meet a configurable threshold before invocation.</w:t>
      </w:r>
    </w:p>
    <w:p>
      <w:r>
        <w:rPr>
          <w:b/>
          <w:sz w:val="26"/>
        </w:rPr>
        <w:t>Updated Figures</w:t>
      </w:r>
    </w:p>
    <w:p>
      <w:r>
        <w:rPr>
          <w:b w:val="0"/>
          <w:sz w:val="22"/>
        </w:rPr>
        <w:t>Figure 7: UMEA architecture — HWAM/SWAM/STIG/Vuln/Malware/EDR/DLP/ITDR /SBOM/DNS/Deception/Pen-Test/PQ-Ready collectors and their canonical bundle output.</w:t>
      </w:r>
    </w:p>
    <w:p>
      <w:r>
        <w:rPr>
          <w:b w:val="0"/>
          <w:sz w:val="22"/>
        </w:rPr>
        <w:t>Figure 8: Seven-Domain CDCS formula with H weighted by η.</w:t>
      </w:r>
    </w:p>
    <w:p>
      <w:r>
        <w:rPr>
          <w:b w:val="0"/>
          <w:sz w:val="22"/>
        </w:rPr>
        <w:t>Figure 9: Federated learning topology — local engines, gradient aggregator, customer-size-weighted mean broadcast.</w:t>
      </w:r>
    </w:p>
    <w:p>
      <w:r>
        <w:rPr>
          <w:b w:val="0"/>
          <w:sz w:val="22"/>
        </w:rPr>
        <w:t>Figure 10: Cyber Digital Twin attack-path graph traversal.</w:t>
      </w:r>
    </w:p>
    <w:p>
      <w:r>
        <w:rPr>
          <w:b w:val="0"/>
          <w:sz w:val="22"/>
        </w:rPr>
        <w:t>Figure 11: Macey GenAI tool-use loop with safety allowlist.</w:t>
      </w:r>
    </w:p>
    <w:p>
      <w:r>
        <w:rPr>
          <w:b w:val="0"/>
          <w:sz w:val="22"/>
        </w:rPr>
        <w:t>Figure 12: Hardware-rooted attestation key-source matrix per platform.</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1A3A7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A508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609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2026-05-11T16:18:02.802Z</dcterms:created>
  <dcterms:modified xsi:type="dcterms:W3CDTF">2026-05-11T16:18:02.835Z</dcterms:modified>
</cp:coreProperties>
</file>

<file path=docProps/custom.xml><?xml version="1.0" encoding="utf-8"?>
<Properties xmlns="http://schemas.openxmlformats.org/officeDocument/2006/custom-properties" xmlns:vt="http://schemas.openxmlformats.org/officeDocument/2006/docPropsVTypes"/>
</file>