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b/>
          <w:bCs/>
          <w:sz w:val="28"/>
          <w:szCs w:val="28"/>
        </w:rPr>
        <w:t xml:space="preserve">UNITED STATES PATENT AND TRADEMARK OFFICE</w:t>
      </w:r>
    </w:p>
    <w:p>
      <w:pPr>
        <w:spacing w:after="100"/>
        <w:jc w:val="center"/>
      </w:pPr>
      <w:r>
        <w:rPr>
          <w:sz w:val="24"/>
          <w:szCs w:val="24"/>
        </w:rPr>
        <w:t xml:space="preserve">PROVISIONAL PATENT APPLICATION — 35 U.S.C. § 111(b)</w:t>
      </w:r>
    </w:p>
    <w:p>
      <w:pPr>
        <w:spacing w:after="100" w:before="200"/>
        <w:jc w:val="center"/>
      </w:pPr>
      <w:r>
        <w:rPr>
          <w:b/>
          <w:bCs/>
          <w:color w:val="1F3864"/>
          <w:sz w:val="32"/>
          <w:szCs w:val="32"/>
        </w:rPr>
        <w:t xml:space="preserve">MACE — MULTI-DOMAIN ADAPTIVE CORRELATION ENGINE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Method and System for Probabilistic Asset Identity Reconciliation, Adaptive Cross-Domain Cybersecurity Correlation, and Automated Multi-Jurisdictional Regulatory Evidence Generation</w:t>
      </w:r>
    </w:p>
    <w:p>
      <w:pPr>
        <w:spacing w:after="300"/>
        <w:jc w:val="center"/>
      </w:pPr>
      <w:r>
        <w:rPr>
          <w:b/>
          <w:bCs/>
          <w:color w:val="7F1D1D"/>
          <w:sz w:val="22"/>
          <w:szCs w:val="22"/>
        </w:rPr>
        <w:t xml:space="preserve">DRAFT v2 — FOR REVIEW BY REGISTERED PATENT COUNSEL — June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Inventor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Vivek Sindhu, United States of America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UnifiedSec Technologies Inc., a Delaware Corporation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type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Provisional under 35 U.S.C. § 111(b)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Priority date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[DATE OF FILING — inserted by counsel]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Planned foreign filing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PCT within 12 months; EPO and GCC Patent Office national/regional phases via PCT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IPC (tentative)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G06F 21/55; G06F 21/57; H04L 9/40; H04L 41/00; G06N 20/00; G06F 21/60; H04L 63/14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CPC (tentative)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H04L 63/1416; H04L 63/20; G06F 21/552; G06N 20/00; G06F 21/577; H04L 63/1425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Reduction to practice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Working software implementation; full automated test suite passing as of June 2026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CONFIDENTIAL — Attorney-Client Privileged — Do Not Distribute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NOTES FOR COUNSEL — CHANGES FROM v1 (remove before filing)</w:t>
      </w:r>
    </w:p>
    <w:p>
      <w:pPr>
        <w:spacing w:after="120"/>
      </w:pPr>
      <w:r>
        <w:t xml:space="preserve">1. Claims renumbered into a single consistent set of 30 with explicit dependencies; the v1 'addendum' claims are integrated. Hybrid and multiple dependencies removed (former Claims 6 and 22).</w:t>
      </w:r>
    </w:p>
    <w:p>
      <w:pPr>
        <w:spacing w:after="120"/>
      </w:pPr>
      <w:r>
        <w:t xml:space="preserve">2. Former Claim 5 antecedent-basis defect fixed ('further comprising').</w:t>
      </w:r>
    </w:p>
    <w:p>
      <w:pPr>
        <w:spacing w:after="120"/>
      </w:pPr>
      <w:r>
        <w:t xml:space="preserve">3. Marketing language ('first of its kind', 'no prior art', competitor capability counts) removed throughout; statements about the absence of prior art deleted per 37 C.F.R. § 1.56 considerations.</w:t>
      </w:r>
    </w:p>
    <w:p>
      <w:pPr>
        <w:spacing w:after="120"/>
      </w:pPr>
      <w:r>
        <w:t xml:space="preserve">4. Framework count harmonized at fourteen (14) implemented frameworks; the framework library is described as extensible. (v1 used both 14 and 22.)</w:t>
      </w:r>
    </w:p>
    <w:p>
      <w:pPr>
        <w:spacing w:after="120"/>
      </w:pPr>
      <w:r>
        <w:t xml:space="preserve">5. Saudi Arabia NCA ECC-1:2018 re-classified under GCC/Saudi Arabia — it is not a UAE framework (v1 error).</w:t>
      </w:r>
    </w:p>
    <w:p>
      <w:pPr>
        <w:spacing w:after="120"/>
      </w:pPr>
      <w:r>
        <w:t xml:space="preserve">6. UREA state-machine trigger renamed breach_confirmed (v1: framework_identified → BREACH was semantically wrong).</w:t>
      </w:r>
    </w:p>
    <w:p>
      <w:pPr>
        <w:spacing w:after="120"/>
      </w:pPr>
      <w:r>
        <w:t xml:space="preserve">7. Independent claims now lead with the technical effect (latency reduction, tamper-evident records, attested telemetry) to strengthen § 101 posture; please review claim 1 framing under Alice step two.</w:t>
      </w:r>
    </w:p>
    <w:p>
      <w:pPr>
        <w:spacing w:after="120"/>
      </w:pPr>
      <w:r>
        <w:t xml:space="preserve">8. Filing posture harmonized: US provisional is the priority document. The v1/v2.1 investor-document statement that claims were already 'filed in PCT national-phase entries' (including India IN/2026/UNISEC/MACE-001) is inconsistent and procedurally impossible pre-PCT; please confirm true status of any India filing and any assignment needed.</w:t>
      </w:r>
    </w:p>
    <w:p>
      <w:pPr>
        <w:spacing w:after="120"/>
      </w:pPr>
      <w:r>
        <w:t xml:space="preserve">9. FIGURES 1-12 ARE DESCRIBED BUT NOT ATTACHED. A provisional is judged by what it enables; attach at least rough drawings before filing.</w:t>
      </w:r>
    </w:p>
    <w:p>
      <w:pPr>
        <w:spacing w:after="120"/>
      </w:pPr>
      <w:r>
        <w:t xml:space="preserve">10. 30 claims exceed the 20-claim base for the later non-provisional; select 3-4 independent claims deliberately and budget excess-claim fees.</w:t>
      </w:r>
    </w:p>
    <w:p>
      <w:r>
        <w:br w:type="page"/>
      </w:r>
    </w:p>
    <w:p>
      <w:pPr>
        <w:pStyle w:val="Heading1"/>
      </w:pPr>
      <w:r>
        <w:t xml:space="preserve">ABSTRACT</w:t>
      </w:r>
    </w:p>
    <w:p>
      <w:pPr>
        <w:spacing w:after="120"/>
      </w:pPr>
      <w:r>
        <w:t xml:space="preserve">A computer-implemented system unifies cybersecurity threat correlation and regulatory evidence generation. Asset observation records from heterogeneous sources are reconciled into a probabilistic, time-decaying asset graph using weighted identity matching with a hardware-identifier boost. Security events are scored by an explainable seven-domain weighted formula incorporating exploitation-probability data, kill-chain stage and blast-radius multipliers, and a per-asset confidence score, with weight coefficients adapted online from analyst feedback. Threshold crossings drive a deterministic finite automaton that generates tamper-evident regulatory evidence records, comprising an SHA-256 hash chain and pre-populated notification drafts, for a database of regulatory frameworks spanning multiple jurisdictions. Extensions include a single-pass cross-platform endpoint agent whose reports are signed by a hardware root of trust, federated adaptive learning with differential privacy, attack-path simulation over the asset graph, and a tool-using conversational interface with a safety allowlist.</w:t>
      </w:r>
    </w:p>
    <w:p>
      <w:pPr>
        <w:pStyle w:val="Heading1"/>
      </w:pPr>
      <w:r>
        <w:t xml:space="preserve">1. FIELD OF THE INVENTION</w:t>
      </w:r>
    </w:p>
    <w:p>
      <w:pPr>
        <w:spacing w:after="120"/>
      </w:pPr>
      <w:r>
        <w:t xml:space="preserve">The invention relates to cybersecurity intelligence platforms, and more specifically to: (a) probabilistic graph-based asset identity reconciliation across heterogeneous data sources; (b) real-time multi-domain adaptive threat correlation scoring; (c) kill-chain-aware threat prioritization using exploitation-probability data; (d) automated multi-jurisdictional regulatory compliance evidence generation; (e) unified endpoint scanning with hardware-rooted report attestation; and (f) privacy-preserving federated learning of correlation parameters.</w:t>
      </w:r>
    </w:p>
    <w:p>
      <w:pPr>
        <w:pStyle w:val="Heading1"/>
      </w:pPr>
      <w:r>
        <w:t xml:space="preserve">2. BACKGROUND</w:t>
      </w:r>
    </w:p>
    <w:p>
      <w:pPr>
        <w:spacing w:after="120"/>
      </w:pPr>
      <w:r>
        <w:t xml:space="preserve">Enterprise security operations typically span multiple disjoint platforms — asset inventory, endpoint detection, vulnerability management, log analytics, and compliance tooling — each emitting an independent alert stream with no shared asset identity model and no unified pre-alert scoring. Analysts manually reconcile these streams before an incident determination can be made, adding hours of latency during which attacker dwell time accumulates. Separately, breach-notification regimes in multiple jurisdictions impose deadlines as short as one hour; evidence assembly and notification drafting remain manual, error-prone, and unverifiable after the fact.</w:t>
      </w:r>
    </w:p>
    <w:p>
      <w:pPr>
        <w:spacing w:after="120"/>
      </w:pPr>
      <w:r>
        <w:t xml:space="preserve">A preliminary search identified, among others: US 9,591,027 and US 10,021,140 (asset aggregation); US 10,523,713 (endpoint telemetry analysis); US 10,986,135 (vulnerability scan correlation); US 11,539,736 (cloud security posture); US 11,070,592 and US 2017/0230391 A1 (behavioral anomaly detection); and US 7,810,156 (SIEM correlation rules). The applicant's preliminary review did not locate a disclosure of the combination claimed herein; characterization of the art and any further search are deferred to counsel. No statement herein is intended as an admission regarding the scope or content of the prior art.</w:t>
      </w:r>
    </w:p>
    <w:p>
      <w:pPr>
        <w:pStyle w:val="Heading1"/>
      </w:pPr>
      <w:r>
        <w:t xml:space="preserve">3. SUMMARY OF THE INVENTION</w:t>
      </w:r>
    </w:p>
    <w:p>
      <w:pPr>
        <w:spacing w:after="120"/>
      </w:pPr>
      <w:r>
        <w:t xml:space="preserve">The invention provides a method and system comprising seven cooperating components. Components 1-3 form the core correlation-and-evidence pipeline; Components 4-7 extend the system to endpoint posture, attestation, federated learning, and conversational operation.</w:t>
      </w:r>
    </w:p>
    <w:p>
      <w:pPr>
        <w:pStyle w:val="Heading2"/>
      </w:pPr>
      <w:r>
        <w:t xml:space="preserve">3.1 Component 1 — Universal Temporal Asset Graph (UTAG)</w:t>
      </w:r>
    </w:p>
    <w:p>
      <w:pPr>
        <w:spacing w:after="120"/>
      </w:pPr>
      <w:r>
        <w:t xml:space="preserve">A probabilistic, time-decaying graph-based asset identity resolution engine that: (a) computes a weighted similarity score across hardware and network identity dimensions (MAC address, cloud instance identifier, TLS certificate fingerprint, hostname, serial number, IP address), applying a hardware-identifier boost factor (default 1.15) when a hardware-level identifier matches; (b) merges records meeting a configurable confidence threshold τ (default 0.38) into a canonical vertex with source-set union; (c) maintains a time-decaying Asset Confidence Score (ACS) per vertex via exponential decay over a configurable staleness window (default half-life 7 days), with ACS below a threshold (default 0.30) triggering shadow-IT classification; (d) detects physically impossible geo-velocity using Haversine geodesic distance against a configurable speed threshold (default 500 km/h); and (e) computes per-vertex graph entropy as a behavioral anomaly signal. The graph spans 11 asset classes with class-specific decay profiles and supports CVE lineage inheritance between cloned assets.</w:t>
      </w:r>
    </w:p>
    <w:p>
      <w:pPr>
        <w:pStyle w:val="Heading2"/>
      </w:pPr>
      <w:r>
        <w:t xml:space="preserve">3.2 Component 2 — Cross-Domain Correlation Score (CDCS)</w:t>
      </w:r>
    </w:p>
    <w:p>
      <w:pPr>
        <w:spacing w:after="120"/>
      </w:pPr>
      <w:r>
        <w:t xml:space="preserve">An explainable weighted scoring formula producing a unified threat priority score in [0, 10]:</w:t>
      </w:r>
    </w:p>
    <w:p>
      <w:pPr>
        <w:spacing w:after="120"/>
        <w:jc w:val="center"/>
      </w:pPr>
      <w:r>
        <w:rPr>
          <w:b/>
          <w:bCs/>
        </w:rPr>
        <w:t xml:space="preserve">CDCS = min(10.0, [α·V + β·E + γ·I + δ·N + ε·C + ζ·T + η·H] × 10 × Smult × Blast × KCmult × ACS)</w:t>
      </w:r>
    </w:p>
    <w:p>
      <w:pPr>
        <w:spacing w:after="120"/>
      </w:pPr>
      <w:r>
        <w:t xml:space="preserve">where V, E, I, N, C, T, H are vulnerability, endpoint-event, identity, network, compliance-posture, threat-intelligence, and endpoint-posture sub-scores respectively; α…η are jurisdiction-specific weight coefficients normalized to sum to 1.0 with a per-weight floor; Smult is a sector multiplier (1.0-1.5); Blast = 1.0 + 0.1 × lateral hop count (capped at 1.5); KCmult is a MITRE ATT&amp;CK kill-chain stage multiplier (1.0 reconnaissance to 1.5 exfiltration/impact); and ACS is the asset confidence score of Component 1. The vulnerability sub-score integrates CVSS v3, EPSS exploitation probability, exploit status, exposure, KEV listing, and SLA breach. Weights adapt online from analyst true-positive/false-positive feedback, bounded within ±20% of a jurisdiction baseline profile. The technical effect is a reduction of cross-tool triage latency from hours of manual reconciliation to sub-second scoring at event arrival, with a deterministic, auditable rationale for each score.</w:t>
      </w:r>
    </w:p>
    <w:p>
      <w:pPr>
        <w:pStyle w:val="Heading2"/>
      </w:pPr>
      <w:r>
        <w:t xml:space="preserve">3.3 Component 3 — Universal Regulatory Evidence Automaton (UREA)</w:t>
      </w:r>
    </w:p>
    <w:p>
      <w:pPr>
        <w:spacing w:after="120"/>
      </w:pPr>
      <w:r>
        <w:t xml:space="preserve">A deterministic finite automaton with states NOMINAL → MONITORING → INVESTIGATION → BREACH → REPORTED → CLOSED, driven by CDCS threshold crossings and incident lifecycle events (the BREACH transition trigger is breach_confirmed). On entering evidentiary states, the automaton: determines applicable frameworks from jurisdiction, sector, event type and data classification; generates framework-specific notification drafts with required fields pre-populated; assigns jurisdiction-specific reference numbers; and appends to a tamper-evident hash chain hashₙ = SHA256(incident_id ‖ cdcs ‖ timestamp ‖ hashₙ₋₁). Fourteen (14) frameworks are implemented at filing (table below); the framework library is a data-driven, extensible database, and the claims are not limited to the enumerated frameworks.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2300"/>
        <w:gridCol w:w="2760"/>
      </w:tblGrid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Jurisdiction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Automated output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FedRAMP SIR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hour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Structured incident report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HIPAA Breach Notification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 days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PHI breach notification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PCI-DSS v4.0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 hours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Cardholder data breach notice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 Cyber Disclosure (8-K)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business days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Material incident disclosure draft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SOC 2 Type II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 engagement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Auditor evidence package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CMMC Level 2/3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72 hours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CUI incident report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CISA KEV remediation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 directive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Remediation status report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EU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GDPR Articles 33/34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72 hours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DPA notification + data-subject draft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EU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NIS2 Directive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24h early warning / 72h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Entity incident notification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EU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DORA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4h from classification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ICT incident report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UAE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NESA IAS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Immediate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Critical-infrastructure notification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UAE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aeCERT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Immediate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National CERT notification + reference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UAE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DIFC DPL 2020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72 hours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DIFC data-breach notification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KSA/GCC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NCA ECC-1:2018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Immediate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Essential Cybersecurity Controls breach report (GCC expansion)</w:t>
            </w:r>
          </w:p>
        </w:tc>
      </w:tr>
    </w:tbl>
    <w:p>
      <w:pPr>
        <w:pStyle w:val="Heading2"/>
      </w:pPr>
      <w:r>
        <w:t xml:space="preserve">3.4 Component 4 — Unified MACE Endpoint Agent (UMEA)</w:t>
      </w:r>
    </w:p>
    <w:p>
      <w:pPr>
        <w:spacing w:after="120"/>
      </w:pPr>
      <w:r>
        <w:t xml:space="preserve">A cross-platform agent (Windows, macOS, Linux, Android, iOS) that performs in a single scan pass: hardware asset inventory; software asset inventory; STIG/CIS compliance probes; local CVE matching against a daily-refreshed cache of NVD, CISA KEV, and FIRST.org EPSS data; malware indicators; hackable-configuration heuristics; intrusion detection (on-device and on-LAN); EDR-class behavioral rules (LSASS access, encoded PowerShell, Office-to-shell trees, beacon patterns, WMI persistence) via ETW / Endpoint Security framework / eBPF; DLP pattern detection; CycloneDX 1.5 SBOM generation with typo-squat and malicious-package cross-reference; honeytoken deception; and read-only nightly privilege-escalation probes. All outputs are emitted as one canonical signed report bundle consumed by Components 1 and 2.</w:t>
      </w:r>
    </w:p>
    <w:p>
      <w:pPr>
        <w:pStyle w:val="Heading2"/>
      </w:pPr>
      <w:r>
        <w:t xml:space="preserve">3.5 Component 5 — Hardware-Rooted Report Attestation</w:t>
      </w:r>
    </w:p>
    <w:p>
      <w:pPr>
        <w:spacing w:after="120"/>
      </w:pPr>
      <w:r>
        <w:t xml:space="preserve">Each agent report is signed by a key bound to the device hardware root of trust (Apple Secure Enclave; TPM 2.0 via Platform Crypto Provider or tpm2-tools; Android Strongbox), with a key_source field distinguishing hardware-backed from software-fallback signing, so that a compromised agent cannot misrepresent its own state, and providing the cryptographic foundation of the Component 3 chain of custody.</w:t>
      </w:r>
    </w:p>
    <w:p>
      <w:pPr>
        <w:pStyle w:val="Heading2"/>
      </w:pPr>
      <w:r>
        <w:t xml:space="preserve">3.6 Component 6 — Federated Adaptive-Correlation Learning</w:t>
      </w:r>
    </w:p>
    <w:p>
      <w:pPr>
        <w:spacing w:after="120"/>
      </w:pPr>
      <w:r>
        <w:t xml:space="preserve">Each customer engine computes a local CDCS weight gradient from feedback batches, adds Gaussian differential-privacy noise of configurable sigma, and transmits only the noisy gradient to an aggregator, which broadcasts a customer-size-weighted mean blended locally by a configurable trust factor. Raw events, asset identifiers, IP addresses and hostnames never leave the customer environment.</w:t>
      </w:r>
    </w:p>
    <w:p>
      <w:pPr>
        <w:pStyle w:val="Heading2"/>
      </w:pPr>
      <w:r>
        <w:t xml:space="preserve">3.7 Component 7 — Tool-Using Conversational Interface</w:t>
      </w:r>
    </w:p>
    <w:p>
      <w:pPr>
        <w:spacing w:after="120"/>
      </w:pPr>
      <w:r>
        <w:t xml:space="preserve">A conversational agent exposing the system through structured tools (scan_device, get_report, lookup_cve, run_playbook, search_logs, explain_finding, provision_cloud), with back-end selection between remote LLM providers and a deterministic rule-based fallback for air-gapped operation, and a safety layer gating destructive actions by allowlist and priority-score threshold.</w:t>
      </w:r>
    </w:p>
    <w:p>
      <w:pPr>
        <w:pStyle w:val="Heading2"/>
      </w:pPr>
      <w:r>
        <w:t xml:space="preserve">3.8 Auxiliary methods</w:t>
      </w:r>
    </w:p>
    <w:p>
      <w:pPr>
        <w:spacing w:after="120"/>
      </w:pPr>
      <w:r>
        <w:t xml:space="preserve">(i) Attack-path simulation over the asset graph with EPSS-weighted edges, producing MITRE ATT&amp;CK-annotated step-by-step paths to designated crown-jewel assets with per-step preventive controls. (ii) Post-quantum readiness inventory of cryptographic primitives with FIPS 203/204/205 successor recommendations on CNSA 2.0 timelines. (iii) Streaming voice-authenticity scoring from spectral and prosodic features computed in one-second windows without retaining or transmitting audio. (iv) Cross-asset incident replay via an append-only event ledger with periodic snapshots enabling state reconstruction at arbitrary timestamps. (v) Auto-remediation in which commands execute only when matching a safe-verb allowlist AND meeting a priority threshold AND (analyst approval OR autonomous mode for the class), with full audit logging.</w:t>
      </w:r>
    </w:p>
    <w:p>
      <w:pPr>
        <w:pStyle w:val="Heading1"/>
      </w:pPr>
      <w:r>
        <w:t xml:space="preserve">4. CLAIMS</w:t>
      </w:r>
    </w:p>
    <w:p>
      <w:pPr>
        <w:spacing w:after="120"/>
      </w:pPr>
      <w:r>
        <w:t xml:space="preserve">What is claimed is:</w:t>
      </w:r>
    </w:p>
    <w:p>
      <w:pPr>
        <w:pStyle w:val="Heading2"/>
      </w:pPr>
      <w:r>
        <w:t xml:space="preserve">Family A — Correlation and regulatory evidence (Claims 1-12)</w:t>
      </w:r>
    </w:p>
    <w:p>
      <w:pPr>
        <w:spacing w:after="160"/>
      </w:pPr>
      <w:r>
        <w:rPr>
          <w:b/>
          <w:bCs/>
        </w:rPr>
        <w:t xml:space="preserve">Claim 1. </w:t>
      </w:r>
      <w:r>
        <w:t xml:space="preserve">A computer-implemented method for unified cybersecurity threat correlation and regulatory evidence generation, the method reducing cross-tool incident triage latency and producing tamper-evident compliance records, comprising:</w:t>
      </w:r>
    </w:p>
    <w:p>
      <w:pPr>
        <w:spacing w:after="80"/>
        <w:ind w:left="720"/>
      </w:pPr>
      <w:r>
        <w:t xml:space="preserve">(a) receiving, by a computing system, asset observation records from two or more heterogeneous cybersecurity data sources, each record comprising one or more identity attributes selected from: hardware MAC address, cloud instance identifier, TLS certificate fingerprint, hostname, serial number, and IP address;</w:t>
      </w:r>
    </w:p>
    <w:p>
      <w:pPr>
        <w:spacing w:after="80"/>
        <w:ind w:left="720"/>
      </w:pPr>
      <w:r>
        <w:t xml:space="preserve">(b) computing, for pairs of asset observation records, a weighted similarity score as a linear combination of identity-attribute match indicators, wherein a match on a hardware-level identifier applies a boost factor of at least 1.10;</w:t>
      </w:r>
    </w:p>
    <w:p>
      <w:pPr>
        <w:spacing w:after="80"/>
        <w:ind w:left="720"/>
      </w:pPr>
      <w:r>
        <w:t xml:space="preserve">(c) merging records whose similarity score meets a configurable threshold into a canonical asset vertex of a temporal asset graph, and maintaining for each vertex a time-decaying Asset Confidence Score;</w:t>
      </w:r>
    </w:p>
    <w:p>
      <w:pPr>
        <w:spacing w:after="80"/>
        <w:ind w:left="720"/>
      </w:pPr>
      <w:r>
        <w:t xml:space="preserve">(d) computing, for a security event associated with an asset vertex, a Cross-Domain Correlation Score comprising a normalized linear combination of at least six domain sub-scores — vulnerability, endpoint, identity, network, compliance, and threat intelligence — multiplied by a sector multiplier, a blast-radius multiplier, a kill-chain stage multiplier, and the Asset Confidence Score, bounded to a fixed range; and</w:t>
      </w:r>
    </w:p>
    <w:p>
      <w:pPr>
        <w:spacing w:after="80"/>
        <w:ind w:left="720"/>
      </w:pPr>
      <w:r>
        <w:t xml:space="preserve">(e) responsive to the Cross-Domain Correlation Score crossing a configurable threshold, transitioning a deterministic finite automaton toward a breach state and generating a regulatory evidence record comprising a tamper-evident SHA-256 chain-of-custody hash computed over the incident identifier, the score, a timestamp, and the preceding hash; a pre-populated regulatory notification draft; and a jurisdiction-specific incident reference number.</w:t>
      </w:r>
    </w:p>
    <w:p>
      <w:pPr>
        <w:spacing w:after="160"/>
      </w:pPr>
      <w:r>
        <w:rPr>
          <w:b/>
          <w:bCs/>
        </w:rPr>
        <w:t xml:space="preserve">Claim 2. </w:t>
      </w:r>
      <w:r>
        <w:t xml:space="preserve">The method of claim 1, wherein the kill-chain stage multiplier corresponds to a MITRE ATT&amp;CK phase and ranges from 1.0 for reconnaissance to 1.5 for exfiltration or impact.</w:t>
      </w:r>
    </w:p>
    <w:p>
      <w:pPr>
        <w:spacing w:after="160"/>
      </w:pPr>
      <w:r>
        <w:rPr>
          <w:b/>
          <w:bCs/>
        </w:rPr>
        <w:t xml:space="preserve">Claim 3. </w:t>
      </w:r>
      <w:r>
        <w:t xml:space="preserve">The method of claim 1, further comprising updating weight coefficients of the linear combination by online learning from analyst true-positive or false-positive feedback, bounded within a maximum deviation from a jurisdiction-specific baseline profile.</w:t>
      </w:r>
    </w:p>
    <w:p>
      <w:pPr>
        <w:spacing w:after="160"/>
      </w:pPr>
      <w:r>
        <w:rPr>
          <w:b/>
          <w:bCs/>
        </w:rPr>
        <w:t xml:space="preserve">Claim 4. </w:t>
      </w:r>
      <w:r>
        <w:t xml:space="preserve">The method of claim 1, wherein maintaining the Asset Confidence Score comprises applying exponential temporal decay over a configurable staleness window, and classifying vertices whose score falls below a threshold as unauthorized (shadow IT) assets.</w:t>
      </w:r>
    </w:p>
    <w:p>
      <w:pPr>
        <w:spacing w:after="160"/>
      </w:pPr>
      <w:r>
        <w:rPr>
          <w:b/>
          <w:bCs/>
        </w:rPr>
        <w:t xml:space="preserve">Claim 5. </w:t>
      </w:r>
      <w:r>
        <w:t xml:space="preserve">The method of claim 1, further comprising detecting a geo-velocity anomaly by computing the Haversine geodesic distance between successive observations of an asset and flagging observations implying travel speed exceeding a configurable threshold.</w:t>
      </w:r>
    </w:p>
    <w:p>
      <w:pPr>
        <w:spacing w:after="160"/>
      </w:pPr>
      <w:r>
        <w:rPr>
          <w:b/>
          <w:bCs/>
        </w:rPr>
        <w:t xml:space="preserve">Claim 6. </w:t>
      </w:r>
      <w:r>
        <w:t xml:space="preserve">The method of claim 1, wherein the blast-radius multiplier equals 1.0 plus a configurable coefficient times a lateral hop count of observed network propagation from an initially compromised asset, bounded at a maximum value.</w:t>
      </w:r>
    </w:p>
    <w:p>
      <w:pPr>
        <w:spacing w:after="160"/>
      </w:pPr>
      <w:r>
        <w:rPr>
          <w:b/>
          <w:bCs/>
        </w:rPr>
        <w:t xml:space="preserve">Claim 7. </w:t>
      </w:r>
      <w:r>
        <w:t xml:space="preserve">The method of claim 1, wherein the linear combination further comprises a seventh, endpoint-posture sub-score computed from a signed report bundle of an endpoint agent, the sub-score being a weighted combination of hardware-exposure, software-staleness, configuration-compliance, malware-indicator, hackable-configuration, and intrusion-pressure signals.</w:t>
      </w:r>
    </w:p>
    <w:p>
      <w:pPr>
        <w:spacing w:after="160"/>
      </w:pPr>
      <w:r>
        <w:rPr>
          <w:b/>
          <w:bCs/>
        </w:rPr>
        <w:t xml:space="preserve">Claim 8. </w:t>
      </w:r>
      <w:r>
        <w:t xml:space="preserve">The method of claim 3, further comprising transmitting a locally computed weight gradient to a central aggregator only after addition of Gaussian differential-privacy noise, and blending a customer-size-weighted aggregate gradient received from the aggregator into local weights according to a configurable trust factor, wherein raw events and asset identifiers are not transmitted.</w:t>
      </w:r>
    </w:p>
    <w:p>
      <w:pPr>
        <w:spacing w:after="160"/>
      </w:pPr>
      <w:r>
        <w:rPr>
          <w:b/>
          <w:bCs/>
        </w:rPr>
        <w:t xml:space="preserve">Claim 9. </w:t>
      </w:r>
      <w:r>
        <w:t xml:space="preserve">A system comprising: at least one processor; and a non-transitory computer-readable medium storing instructions that, when executed by the at least one processor, cause the system to perform the method of claim 1; and a regulatory framework database comprising at least fourteen regulatory frameworks across at least three jurisdictions, each framework record comprising a notification deadline, required notification fields, and a draft template. [Counsel: confirm acceptable dependency form for the non-provisional or expand steps inline.]</w:t>
      </w:r>
    </w:p>
    <w:p>
      <w:pPr>
        <w:spacing w:after="160"/>
      </w:pPr>
      <w:r>
        <w:rPr>
          <w:b/>
          <w:bCs/>
        </w:rPr>
        <w:t xml:space="preserve">Claim 10. </w:t>
      </w:r>
      <w:r>
        <w:t xml:space="preserve">The system of claim 9, wherein the regulatory framework database comprises United States frameworks selected from: FedRAMP incident reporting, HIPAA breach notification, PCI-DSS, SEC cybersecurity disclosure, CMMC incident reporting, SOC 2 evidence packaging, and CISA Known Exploited Vulnerabilities remediation reporting.</w:t>
      </w:r>
    </w:p>
    <w:p>
      <w:pPr>
        <w:spacing w:after="160"/>
      </w:pPr>
      <w:r>
        <w:rPr>
          <w:b/>
          <w:bCs/>
        </w:rPr>
        <w:t xml:space="preserve">Claim 11. </w:t>
      </w:r>
      <w:r>
        <w:t xml:space="preserve">The system of claim 9, wherein the regulatory framework database comprises European Union frameworks selected from: GDPR Articles 33 and 34, the NIS2 Directive, and DORA.</w:t>
      </w:r>
    </w:p>
    <w:p>
      <w:pPr>
        <w:spacing w:after="160"/>
      </w:pPr>
      <w:r>
        <w:rPr>
          <w:b/>
          <w:bCs/>
        </w:rPr>
        <w:t xml:space="preserve">Claim 12. </w:t>
      </w:r>
      <w:r>
        <w:t xml:space="preserve">The system of claim 9, wherein the regulatory framework database comprises Middle East frameworks selected from: UAE NESA Information Assurance Standards, UAE aeCERT notification, DIFC Data Protection Law 2020, and Saudi Arabia NCA Essential Cybersecurity Controls.</w:t>
      </w:r>
    </w:p>
    <w:p>
      <w:pPr>
        <w:pStyle w:val="Heading2"/>
      </w:pPr>
      <w:r>
        <w:t xml:space="preserve">Family B — Unified endpoint agent (Claims 13-22)</w:t>
      </w:r>
    </w:p>
    <w:p>
      <w:pPr>
        <w:spacing w:after="160"/>
      </w:pPr>
      <w:r>
        <w:rPr>
          <w:b/>
          <w:bCs/>
        </w:rPr>
        <w:t xml:space="preserve">Claim 13. </w:t>
      </w:r>
      <w:r>
        <w:t xml:space="preserve">A computer-implemented method for unified endpoint security scanning, comprising: collecting, in a single scan pass on a host computer by a software agent, (a) a hardware asset inventory comprising at least one of CPU specification, memory size, storage devices, network interfaces, firmware revision, secure-boot state, and disk-encryption state; (b) a software asset inventory comprising at least operating-system version, patch level, installed applications, listening ports, and kernel modules; (c) configuration-compliance findings produced by a curated cross-platform probe set; and (d) vulnerability findings produced by correlating the software asset inventory against a vulnerability database; and emitting the result sets as a single canonical bundle to an ingest endpoint.</w:t>
      </w:r>
    </w:p>
    <w:p>
      <w:pPr>
        <w:spacing w:after="160"/>
      </w:pPr>
      <w:r>
        <w:rPr>
          <w:b/>
          <w:bCs/>
        </w:rPr>
        <w:t xml:space="preserve">Claim 14. </w:t>
      </w:r>
      <w:r>
        <w:t xml:space="preserve">The method of claim 13, further comprising signing the canonical bundle with a key bound to a hardware root of trust selected from: a Secure Enclave processor, a TPM 2.0 device, an Android Strongbox-backed keystore, and a platform cryptographic provider, the bundle further comprising a field distinguishing hardware-backed from software-fallback signing.</w:t>
      </w:r>
    </w:p>
    <w:p>
      <w:pPr>
        <w:spacing w:after="160"/>
      </w:pPr>
      <w:r>
        <w:rPr>
          <w:b/>
          <w:bCs/>
        </w:rPr>
        <w:t xml:space="preserve">Claim 15. </w:t>
      </w:r>
      <w:r>
        <w:t xml:space="preserve">The method of claim 13, further comprising monitoring operating-system event streams and triggering an incremental rescan when an event of type process-execution, file change, login, installation attempt, or policy change is observed within a configurable debounce window.</w:t>
      </w:r>
    </w:p>
    <w:p>
      <w:pPr>
        <w:spacing w:after="160"/>
      </w:pPr>
      <w:r>
        <w:rPr>
          <w:b/>
          <w:bCs/>
        </w:rPr>
        <w:t xml:space="preserve">Claim 16. </w:t>
      </w:r>
      <w:r>
        <w:t xml:space="preserve">The method of claim 13, wherein correlating against the vulnerability database comprises consulting a local cache refreshed from a national vulnerability database and annotated with exploitation-probability scores and known-exploited flags from at least two external feeds.</w:t>
      </w:r>
    </w:p>
    <w:p>
      <w:pPr>
        <w:spacing w:after="160"/>
      </w:pPr>
      <w:r>
        <w:rPr>
          <w:b/>
          <w:bCs/>
        </w:rPr>
        <w:t xml:space="preserve">Claim 17. </w:t>
      </w:r>
      <w:r>
        <w:t xml:space="preserve">The method of claim 13, further comprising producing a prioritized remediation plan in which each finding is assigned a priority score computed as a weighted combination of severity score, exploitation probability, exploit status, and patch availability, and in which findings sharing a single remediation command are bundled into one action.</w:t>
      </w:r>
    </w:p>
    <w:p>
      <w:pPr>
        <w:spacing w:after="160"/>
      </w:pPr>
      <w:r>
        <w:rPr>
          <w:b/>
          <w:bCs/>
        </w:rPr>
        <w:t xml:space="preserve">Claim 18. </w:t>
      </w:r>
      <w:r>
        <w:t xml:space="preserve">The method of claim 17, further comprising executing a remediation command if and only if (a) the command matches a configurable allowlist of safe-verb patterns, (b) the priority score meets a configurable threshold, and (c) explicit analyst approval has been given or the system operates in an autonomous mode for the finding class; and appending the executed command, exit code, and outputs to a tamper-evident audit log.</w:t>
      </w:r>
    </w:p>
    <w:p>
      <w:pPr>
        <w:spacing w:after="160"/>
      </w:pPr>
      <w:r>
        <w:rPr>
          <w:b/>
          <w:bCs/>
        </w:rPr>
        <w:t xml:space="preserve">Claim 19. </w:t>
      </w:r>
      <w:r>
        <w:t xml:space="preserve">The method of claim 13, further comprising evaluating behavioral detection rules over the host process tree, the rules comprising detection of at least one of: access to a security-authority subsystem process from a non-system parent, an encoded shell command exceeding a length threshold, an office-application process spawning a shell-class child, and a command line matching a known command-and-control beacon pattern.</w:t>
      </w:r>
    </w:p>
    <w:p>
      <w:pPr>
        <w:spacing w:after="160"/>
      </w:pPr>
      <w:r>
        <w:rPr>
          <w:b/>
          <w:bCs/>
        </w:rPr>
        <w:t xml:space="preserve">Claim 20. </w:t>
      </w:r>
      <w:r>
        <w:t xml:space="preserve">The method of claim 13, further comprising placing honeytoken files containing inert decoy credentials at attacker-targeted paths on the host and alerting when any honeytoken's access time, content hash, or existence deviates from a baseline recorded at placement.</w:t>
      </w:r>
    </w:p>
    <w:p>
      <w:pPr>
        <w:spacing w:after="160"/>
      </w:pPr>
      <w:r>
        <w:rPr>
          <w:b/>
          <w:bCs/>
        </w:rPr>
        <w:t xml:space="preserve">Claim 21. </w:t>
      </w:r>
      <w:r>
        <w:t xml:space="preserve">The method of claim 13, further comprising generating a software bill of materials from the software inventory and detecting supply-chain indicators comprising at least one of: a package name within an edit-distance threshold of a popular package, a package appearing on a malicious-package list, and an exact match to a known compromised package-version pair.</w:t>
      </w:r>
    </w:p>
    <w:p>
      <w:pPr>
        <w:spacing w:after="160"/>
      </w:pPr>
      <w:r>
        <w:rPr>
          <w:b/>
          <w:bCs/>
        </w:rPr>
        <w:t xml:space="preserve">Claim 22. </w:t>
      </w:r>
      <w:r>
        <w:t xml:space="preserve">A system comprising agents performing the method of claim 13 deployed on two or more of: a Microsoft Windows computer, an Apple macOS computer, a Linux computer, an Android device, and an iOS device, wherein each agent emits the canonical bundle to a common ingest endpoint for consumption by a temporal asset graph and a cross-domain correlation engine.</w:t>
      </w:r>
    </w:p>
    <w:p>
      <w:pPr>
        <w:pStyle w:val="Heading2"/>
      </w:pPr>
      <w:r>
        <w:t xml:space="preserve">Family C — Auxiliary methods and systems (Claims 23-30)</w:t>
      </w:r>
    </w:p>
    <w:p>
      <w:pPr>
        <w:spacing w:after="160"/>
      </w:pPr>
      <w:r>
        <w:rPr>
          <w:b/>
          <w:bCs/>
        </w:rPr>
        <w:t xml:space="preserve">Claim 23. </w:t>
      </w:r>
      <w:r>
        <w:t xml:space="preserve">A method for cybersecurity attack-path simulation, comprising: receiving vertices and edges of a temporal asset graph of an enterprise environment; designating at least one vertex as a protected asset; receiving a hypothetical initial compromise comprising an asset identifier and a vulnerability identifier; computing a graph search over exploitability-weighted edges, the weights derived from exploitation-probability scores; and producing a step-by-step path annotated with adversarial-technique identifiers, estimated per-step dwell time, and preventive controls.</w:t>
      </w:r>
    </w:p>
    <w:p>
      <w:pPr>
        <w:spacing w:after="160"/>
      </w:pPr>
      <w:r>
        <w:rPr>
          <w:b/>
          <w:bCs/>
        </w:rPr>
        <w:t xml:space="preserve">Claim 24. </w:t>
      </w:r>
      <w:r>
        <w:t xml:space="preserve">A method for post-quantum readiness assessment, comprising: inventorying cryptographic primitives in use on a host, including at least TLS handshakes, SSH keys, and code-signing certificates; identifying primitives using quantum-vulnerable algorithms; and producing per-primitive successor recommendations and migration deadlines derived from published government migration timelines.</w:t>
      </w:r>
    </w:p>
    <w:p>
      <w:pPr>
        <w:spacing w:after="160"/>
      </w:pPr>
      <w:r>
        <w:rPr>
          <w:b/>
          <w:bCs/>
        </w:rPr>
        <w:t xml:space="preserve">Claim 25. </w:t>
      </w:r>
      <w:r>
        <w:t xml:space="preserve">A method for streaming voice-authenticity scoring, comprising: computing, in fixed-length windows over a live audio stream, features comprising variance of the second derivative of a log-mel energy envelope, a pitch micro-variation measure, and inter-phoneme gap entropy; producing a per-window authenticity score; and discarding audio samples after feature computation such that audio is neither persisted nor transmitted.</w:t>
      </w:r>
    </w:p>
    <w:p>
      <w:pPr>
        <w:spacing w:after="160"/>
      </w:pPr>
      <w:r>
        <w:rPr>
          <w:b/>
          <w:bCs/>
        </w:rPr>
        <w:t xml:space="preserve">Claim 26. </w:t>
      </w:r>
      <w:r>
        <w:t xml:space="preserve">A method for cross-asset incident replay, comprising: recording an append-only ledger of process, network, identity, and file events for each asset associated with an incident; writing periodic full-state snapshots; and reconstructing the state of every such asset at an arbitrary timestamp by loading the nearest preceding snapshot and replaying subsequent ledger events.</w:t>
      </w:r>
    </w:p>
    <w:p>
      <w:pPr>
        <w:spacing w:after="160"/>
      </w:pPr>
      <w:r>
        <w:rPr>
          <w:b/>
          <w:bCs/>
        </w:rPr>
        <w:t xml:space="preserve">Claim 27. </w:t>
      </w:r>
      <w:r>
        <w:t xml:space="preserve">A system for identity threat detection comprising at least one identity-provider connector and a detector producing a finding upon at least one of: a threshold number of multi-factor authentication challenges to one account within a time window, successive logins implying geo-velocity above a threshold, grant of offline access to a third-party application, and privileged-role assignment outside configured hours.</w:t>
      </w:r>
    </w:p>
    <w:p>
      <w:pPr>
        <w:spacing w:after="160"/>
      </w:pPr>
      <w:r>
        <w:rPr>
          <w:b/>
          <w:bCs/>
        </w:rPr>
        <w:t xml:space="preserve">Claim 28. </w:t>
      </w:r>
      <w:r>
        <w:t xml:space="preserve">A system for endpoint software-defined segmentation comprising a local DNS resolver that answers queries for blocklisted domains with a non-routable address and forwards other queries upstream, the blocklist refreshed from at least one threat-intelligence feed.</w:t>
      </w:r>
    </w:p>
    <w:p>
      <w:pPr>
        <w:spacing w:after="160"/>
      </w:pPr>
      <w:r>
        <w:rPr>
          <w:b/>
          <w:bCs/>
        </w:rPr>
        <w:t xml:space="preserve">Claim 29. </w:t>
      </w:r>
      <w:r>
        <w:t xml:space="preserve">A system operating a tool-using conversational interface for security operations, comprising structured tools including at least device scanning, report retrieval, vulnerability lookup, and playbook execution; back-end selection logic preferring a remote language-model provider when credentials are present and otherwise falling back to a deterministic rule-based responder; and a safety layer requiring any destructive action to satisfy an allowlist and a priority-score threshold before invocation.</w:t>
      </w:r>
    </w:p>
    <w:p>
      <w:pPr>
        <w:spacing w:after="160"/>
      </w:pPr>
      <w:r>
        <w:rPr>
          <w:b/>
          <w:bCs/>
        </w:rPr>
        <w:t xml:space="preserve">Claim 30. </w:t>
      </w:r>
      <w:r>
        <w:t xml:space="preserve">The method of claim 1, further comprising presenting, for each Cross-Domain Correlation Score, a decomposition of the score into its domain sub-scores and multipliers, whereby each alert is accompanied by a deterministic, human-auditable rationale.</w:t>
      </w:r>
    </w:p>
    <w:p>
      <w:pPr>
        <w:pStyle w:val="Heading1"/>
      </w:pPr>
      <w:r>
        <w:t xml:space="preserve">5. BRIEF DESCRIPTION OF THE DRAWINGS</w:t>
      </w:r>
    </w:p>
    <w:p>
      <w:pPr>
        <w:spacing w:after="120"/>
      </w:pPr>
      <w:r>
        <w:rPr>
          <w:i/>
          <w:iCs/>
          <w:color w:val="7F1D1D"/>
        </w:rPr>
        <w:t xml:space="preserve">[MUST ATTACH BEFORE FILING — descriptions only below]</w:t>
      </w:r>
    </w:p>
    <w:p>
      <w:pPr>
        <w:spacing w:after="120"/>
      </w:pPr>
      <w:r>
        <w:t xml:space="preserve">Figure 1: Three-stage pipeline (UTAG → CDCS → UREA) with ingestion, correlation, and evidence layers. Figure 2: UTAG merge decision flow and ACS decay model. Figure 3: CDCS seven-domain formula and multiplier chain with severity thresholds. Figure 4: UREA state diagram with breach_confirmed transition. Figure 5: Regulatory framework coverage matrix (14 frameworks). Figure 6: Deployment architecture. Figure 7: UMEA collector architecture and canonical bundle. Figure 8: Seven-domain CDCS with η·H term. Figure 9: Federated learning topology. Figure 10: Attack-path graph traversal. Figure 11: Conversational tool-use loop with safety allowlist. Figure 12: Hardware-attestation key-source matrix per platform.</w:t>
      </w:r>
    </w:p>
    <w:p>
      <w:pPr>
        <w:pStyle w:val="Heading1"/>
      </w:pPr>
      <w:r>
        <w:t xml:space="preserve">6. DETAILED DESCRIPTION</w:t>
      </w:r>
    </w:p>
    <w:p>
      <w:pPr>
        <w:pStyle w:val="Heading2"/>
      </w:pPr>
      <w:r>
        <w:t xml:space="preserve">6.1 UTAG implementation</w:t>
      </w:r>
    </w:p>
    <w:p>
      <w:pPr>
        <w:spacing w:after="120"/>
      </w:pPr>
      <w:r>
        <w:t xml:space="preserve">The graph G = (V, E) holds canonical assets as vertices identified by immutable UUIDs; edges represent clone lineage, network connection, or lateral movement. For incoming record r and vertex v: score(r, v) = Σᵢ wᵢ · match(rᵢ, vᵢ) · boost(i), with default dimension weights MAC 0.50, cloud instance ID 0.45, TLS certificate fingerprint 0.40, hostname 0.35, serial 0.30, IP 0.20, and hardware boost 1.15 on MAC/serial/certificate matches. Merge occurs at score ≥ τ (default 0.38). ACS(t) = ACS_base · e^(−λ·Δt/T_half), T_half default 7 days; ACS &lt; 0.30 → shadow IT; unobserved 2×T_half → stale. All constants are configurable defaults, not claim limitations.</w:t>
      </w:r>
    </w:p>
    <w:p>
      <w:pPr>
        <w:pStyle w:val="Heading2"/>
      </w:pPr>
      <w:r>
        <w:t xml:space="preserve">6.2 CDCS implementation</w:t>
      </w:r>
    </w:p>
    <w:p>
      <w:pPr>
        <w:spacing w:after="120"/>
      </w:pPr>
      <w:r>
        <w:t xml:space="preserve">Vulnerability sub-score: CVSS band mapping (CRITICAL→0.90, HIGH→0.70, MEDIUM→0.45, LOW→0.20); EPSS boosts +0.20 above 0.50 and +0.10 above 0.75; exploit-status multipliers 1.40 (public) / 1.20 (PoC); exposure multipliers 1.30 (internet-facing) / 1.00 / 0.60 (air-gapped); KEV floor 0.85; SLA breach +0.15. Identity sub-score: weighted normalized sum of impossible travel 0.25, privilege escalation 0.20, golden-ticket indicator 0.20, MFA failure rate 0.15, credential stuffing 0.10, pass-the-hash 0.10. Endpoint-posture sub-score H = 0.25·HWAM_exposure + 0.18·SWAM_staleness + 0.17·STIG_noncompliance + 0.20·malware_indicator + 0.12·hackable_config + 0.08·intrusion_pressure. Sector multipliers: banking 1.50, defence/government 1.45, healthcare 1.40, critical infrastructure 1.35, energy/telecom 1.30, default 1.00. Weights α…η normalize to 1.0 with floor 0.03 per weight; adaptive updates are bounded ±20% of the jurisdiction baseline. Seven-domain weight profiles are maintained per jurisdiction (e.g., usa_fedramp, eu_gdpr, uae_nesa).</w:t>
      </w:r>
    </w:p>
    <w:p>
      <w:pPr>
        <w:pStyle w:val="Heading2"/>
      </w:pPr>
      <w:r>
        <w:t xml:space="preserve">6.3 UREA implementation</w:t>
      </w:r>
    </w:p>
    <w:p>
      <w:pPr>
        <w:spacing w:after="120"/>
      </w:pPr>
      <w:r>
        <w:t xml:space="preserve">Automaton (Σ, S, s₀, δ, F): Σ = {cdcs_above_threshold, alert_triggered, breach_confirmed, notification_submitted, incident_closed}; S = {NOMINAL, MONITORING, INVESTIGATION, BREACH, REPORTED, CLOSED}; s₀ = NOMINAL; δ: (NOMINAL, cdcs_above_threshold)→MONITORING, (MONITORING, alert_triggered)→INVESTIGATION, (INVESTIGATION, breach_confirmed)→BREACH, (BREACH, notification_submitted)→REPORTED, (REPORTED, incident_closed)→CLOSED; F = {CLOSED}. Hash chain: hash₀ = SHA256(incident_id₀ ‖ cdcs₀ ‖ ts₀ ‖ seed); hashₙ = SHA256(incident_idₙ ‖ cdcsₙ ‖ tsₙ ‖ hashₙ₋₁). The chain value is embedded in every evidence record and notification draft.</w:t>
      </w:r>
    </w:p>
    <w:p>
      <w:pPr>
        <w:pStyle w:val="Heading2"/>
      </w:pPr>
      <w:r>
        <w:t xml:space="preserve">6.4 UMEA, attestation, and auxiliary methods</w:t>
      </w:r>
    </w:p>
    <w:p>
      <w:pPr>
        <w:spacing w:after="120"/>
      </w:pPr>
      <w:r>
        <w:t xml:space="preserve">UMEA collectors invoke platform-native APIs (system_profiler, WMI, lshw, Android Build/PackageManager, libimobiledevice) and event streams (FSEvents, Endpoint Security framework, ETW, inotify, logcat) with a debounce window for incremental rescans. Vulnerability cache: NVD 2.0 API daily refresh, EPSS daily feed, KEV catalog. Attestation: Secure Enclave (kSecAttrTokenIDSecureEnclave), Platform Crypto Provider (TPM 2.0), tpm2-tools, Strongbox; record carries public key, algorithm, payload SHA-256, signature, key_source. Federated learning: Gaussian noise of configurable sigma targeting ε ≈ 3 yearly; gradients only, customer-size-weighted aggregation, trust-factor blending. Auto-remediation allowlist verbs include package-manager upgrades, service unload, OS update invocation; execution requires priority ≥ 9.0 plus allowlist match, otherwise analyst approval; full audit logging of command, exit code, stdout/stderr, snapshot.</w:t>
      </w:r>
    </w:p>
    <w:p>
      <w:pPr>
        <w:pStyle w:val="Heading1"/>
      </w:pPr>
      <w:r>
        <w:t xml:space="preserve">7. FILING NOTES FOR PATENT COUNSEL</w:t>
      </w:r>
    </w:p>
    <w:p>
      <w:pPr>
        <w:spacing w:after="120"/>
      </w:pPr>
      <w:r>
        <w:t xml:space="preserve">(a) This provisional is the priority document; UnifiedSec Technologies Inc. (Delaware) is the applicant; inventor assignment to be executed at filing. (b) PCT within 12 months; EPO and GCC regional phases via PCT; evaluate UAE national route. (c) Confirm the status of any India provisional referenced in earlier drafts (IN/2026/UNISEC/MACE-001) and any assignment or priority-claim coordination needed; earlier marketing materials describing already-completed national-phase entries are incorrect and have been retracted. (d) Non-provisional due within 12 months under 35 U.S.C. § 119(e). (e) Select final independent claims (recommended: 1, 13, 23 or 29) and budget excess-claim fees. (f) Attach Figures 1-12.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888888"/>
        <w:sz w:val="16"/>
        <w:szCs w:val="16"/>
      </w:rPr>
      <w:t xml:space="preserve">MACE Provisional Patent Application — DRAFT v2	PRIVILEGED &amp;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2026-06-10T12:38:10.352Z</dcterms:created>
  <dcterms:modified xsi:type="dcterms:W3CDTF">2026-06-10T12:38:10.352Z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