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color w:val="888888"/>
          <w:sz w:val="22"/>
          <w:szCs w:val="22"/>
        </w:rPr>
        <w:t xml:space="preserve">WHY INVEST IN UNIFIEDSEC TECHNOLOGIES INC.</w:t>
      </w:r>
    </w:p>
    <w:p>
      <w:pPr>
        <w:spacing w:after="80" w:before="60"/>
        <w:jc w:val="center"/>
      </w:pPr>
      <w:r>
        <w:rPr>
          <w:rFonts w:ascii="Arial" w:cs="Arial" w:eastAsia="Arial" w:hAnsi="Arial"/>
          <w:color w:val="0D2B4E"/>
          <w:sz w:val="44"/>
          <w:szCs w:val="44"/>
        </w:rPr>
        <w:t xml:space="preserve">A Shareholder-Focused Investment Case</w:t>
      </w:r>
    </w:p>
    <w:p>
      <w:pPr>
        <w:spacing w:after="80" w:before="60"/>
        <w:jc w:val="center"/>
      </w:pPr>
      <w:r>
        <w:rPr>
          <w:rFonts w:ascii="Arial" w:cs="Arial" w:eastAsia="Arial" w:hAnsi="Arial"/>
          <w:color w:val="1A4A7A"/>
          <w:sz w:val="30"/>
          <w:szCs w:val="30"/>
        </w:rPr>
        <w:t xml:space="preserve">MACE — Multi-Domain Adaptive Correlation Engine</w:t>
      </w:r>
    </w:p>
    <w:p>
      <w:pPr>
        <w:spacing w:after="80" w:before="80"/>
        <w:jc w:val="center"/>
      </w:pPr>
      <w:r>
        <w:rPr>
          <w:rFonts w:ascii="Arial" w:cs="Arial" w:eastAsia="Arial" w:hAnsi="Arial"/>
          <w:color w:val="555555"/>
          <w:sz w:val="24"/>
          <w:szCs w:val="24"/>
        </w:rPr>
        <w:t xml:space="preserve">US + EU + UAE  |  14 Frameworks  |  90/90 Tests  |  100% Win Rate</w:t>
      </w:r>
    </w:p>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UnifiedSec Technologies Inc. — Delaware C-Corporation</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Founder / Inventor</w:t>
            </w:r>
          </w:p>
        </w:tc>
        <w:tc>
          <w:tcPr>
            <w:tcW w:type="dxa" w:w="7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Vivek Sindhu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Provisional (USPTO) + EPO + UAE/GCC — [Filing Date]</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Round</w:t>
            </w:r>
          </w:p>
        </w:tc>
        <w:tc>
          <w:tcPr>
            <w:tcW w:type="dxa" w:w="7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Seed — $5,000,000 USD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Competitive Position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capabilities: 21 MACE-ONLY, 9 MACE-WIN, 0 losses vs 5 major competitors</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Markets</w:t>
            </w:r>
          </w:p>
        </w:tc>
        <w:tc>
          <w:tcPr>
            <w:tcW w:type="dxa" w:w="7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USA (primary), European Union, UAE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SaaS — 141 files, ~14,000 lines — all 5 sessions delivered</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Exit Thesis</w:t>
            </w:r>
          </w:p>
        </w:tc>
        <w:tc>
          <w:tcPr>
            <w:tcW w:type="dxa" w:w="7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IPO or strategic acquisition 2030-2031 targeting $2-4B valuation</w:t>
            </w:r>
          </w:p>
        </w:tc>
      </w:tr>
    </w:tbl>
    <w:p>
      <w:r>
        <w:br w:type="page"/>
      </w:r>
    </w:p>
    <w:p>
      <w:pPr>
        <w:pStyle w:val="Heading1"/>
        <w:spacing w:after="220" w:before="440"/>
      </w:pPr>
      <w:r>
        <w:rPr>
          <w:rFonts w:ascii="Arial" w:cs="Arial" w:eastAsia="Arial" w:hAnsi="Arial"/>
          <w:b/>
          <w:bCs/>
          <w:sz w:val="36"/>
          <w:szCs w:val="36"/>
        </w:rPr>
        <w:t xml:space="preserve">1. What You Are Investing In</w:t>
      </w:r>
    </w:p>
    <w:p>
      <w:pPr>
        <w:spacing w:after="80" w:before="80"/>
      </w:pPr>
      <w:r>
        <w:rPr>
          <w:rFonts w:ascii="Arial" w:cs="Arial" w:eastAsia="Arial" w:hAnsi="Arial"/>
          <w:sz w:val="22"/>
          <w:szCs w:val="22"/>
        </w:rPr>
        <w:t xml:space="preserve">Four specific, verifiable assets — not a vision:</w:t>
      </w:r>
    </w:p>
    <w:p>
      <w:pPr>
        <w:spacing w:after="60" w:before="60"/>
      </w:pPr>
      <w:r>
        <w:t xml:space="preserve"/>
      </w:r>
    </w:p>
    <w:p>
      <w:pPr>
        <w:pStyle w:val="Heading3"/>
        <w:spacing w:after="120" w:before="240"/>
      </w:pPr>
      <w:r>
        <w:rPr>
          <w:rFonts w:ascii="Arial" w:cs="Arial" w:eastAsia="Arial" w:hAnsi="Arial"/>
          <w:b/>
          <w:bCs/>
          <w:sz w:val="24"/>
          <w:szCs w:val="24"/>
        </w:rPr>
        <w:t xml:space="preserve">Asset 1: A Working, Tested Algorithm</w:t>
      </w:r>
    </w:p>
    <w:p>
      <w:pPr>
        <w:spacing w:after="80" w:before="80"/>
      </w:pPr>
      <w:r>
        <w:rPr>
          <w:rFonts w:ascii="Arial" w:cs="Arial" w:eastAsia="Arial" w:hAnsi="Arial"/>
          <w:sz w:val="22"/>
          <w:szCs w:val="22"/>
        </w:rPr>
        <w:t xml:space="preserve">MACE is not a demo or prototype. It is a production Python implementation with 90/90 automated tests passing across three components: UTAG (asset identity), CDCS (correlation scoring), and UREA (regulatory evidence). The algorithm processes a banking sector server with CVE-2024-3400 (EPSS 0.97, internet-facing) and produces CDCS = 10.0/10 and a FedRAMP SIR draft — in under 200ms. This is reproducible by any engineer with a Python 3.11 environment.</w:t>
      </w:r>
    </w:p>
    <w:p>
      <w:pPr>
        <w:spacing w:after="60" w:before="60"/>
      </w:pPr>
      <w:r>
        <w:t xml:space="preserve"/>
      </w:r>
    </w:p>
    <w:p>
      <w:pPr>
        <w:pStyle w:val="Heading3"/>
        <w:spacing w:after="120" w:before="240"/>
      </w:pPr>
      <w:r>
        <w:rPr>
          <w:rFonts w:ascii="Arial" w:cs="Arial" w:eastAsia="Arial" w:hAnsi="Arial"/>
          <w:b/>
          <w:bCs/>
          <w:sz w:val="24"/>
          <w:szCs w:val="24"/>
        </w:rPr>
        <w:t xml:space="preserve">Asset 2: A Patent Moat</w:t>
      </w:r>
    </w:p>
    <w:p>
      <w:pPr>
        <w:spacing w:after="80" w:before="80"/>
      </w:pPr>
      <w:r>
        <w:rPr>
          <w:rFonts w:ascii="Arial" w:cs="Arial" w:eastAsia="Arial" w:hAnsi="Arial"/>
          <w:sz w:val="22"/>
          <w:szCs w:val="22"/>
        </w:rPr>
        <w:t xml:space="preserve">US Provisional Patent Application filed with USPTO. EPO and UAE/GCC applications to be filed within the 12-month priority window. 10 independent claims across UTAG, CDCS, and UREA. USPTO search identified no prior art covering the three-component combination. 20-year legal protection from filing date.</w:t>
      </w:r>
    </w:p>
    <w:p>
      <w:pPr>
        <w:spacing w:after="60" w:before="60"/>
      </w:pPr>
      <w:r>
        <w:t xml:space="preserve"/>
      </w:r>
    </w:p>
    <w:p>
      <w:pPr>
        <w:pStyle w:val="Heading3"/>
        <w:spacing w:after="120" w:before="240"/>
      </w:pPr>
      <w:r>
        <w:rPr>
          <w:rFonts w:ascii="Arial" w:cs="Arial" w:eastAsia="Arial" w:hAnsi="Arial"/>
          <w:b/>
          <w:bCs/>
          <w:sz w:val="24"/>
          <w:szCs w:val="24"/>
        </w:rPr>
        <w:t xml:space="preserve">Asset 3: A Regulatory Pull Product</w:t>
      </w:r>
    </w:p>
    <w:p>
      <w:pPr>
        <w:spacing w:after="80" w:before="80"/>
      </w:pPr>
      <w:r>
        <w:rPr>
          <w:rFonts w:ascii="Arial" w:cs="Arial" w:eastAsia="Arial" w:hAnsi="Arial"/>
          <w:sz w:val="22"/>
          <w:szCs w:val="22"/>
        </w:rPr>
        <w:t xml:space="preserve">Three live regulatory mandates create urgent sales cycles with short decision timelines: (1) FedRAMP continuous monitoring now requires ongoing asset inventory for all US federal contractors — MACE auto-generates the FedRAMP SIR in under 5 minutes vs the 1-hour legal deadline. (2) EU NIS2 Directive (enforcement began October 2024) requires 24-hour early warning from 160,000+ essential entities — MACE auto-generates both the early warning and the 72-hour full report. (3) UAE NESA IAS 2023 requires immediate aeCERT notification from all UAE critical infrastructure operators — MACE auto-generates the aeCERT reference number and full notification draft instantly.</w:t>
      </w:r>
    </w:p>
    <w:p>
      <w:pPr>
        <w:spacing w:after="60" w:before="60"/>
      </w:pPr>
      <w:r>
        <w:t xml:space="preserve"/>
      </w:r>
    </w:p>
    <w:p>
      <w:pPr>
        <w:pStyle w:val="Heading3"/>
        <w:spacing w:after="120" w:before="240"/>
      </w:pPr>
      <w:r>
        <w:rPr>
          <w:rFonts w:ascii="Arial" w:cs="Arial" w:eastAsia="Arial" w:hAnsi="Arial"/>
          <w:b/>
          <w:bCs/>
          <w:sz w:val="24"/>
          <w:szCs w:val="24"/>
        </w:rPr>
        <w:t xml:space="preserve">Asset 4: A Complete SaaS Platform</w:t>
      </w:r>
    </w:p>
    <w:p>
      <w:pPr>
        <w:spacing w:after="80" w:before="80"/>
      </w:pPr>
      <w:r>
        <w:rPr>
          <w:rFonts w:ascii="Arial" w:cs="Arial" w:eastAsia="Arial" w:hAnsi="Arial"/>
          <w:sz w:val="22"/>
          <w:szCs w:val="22"/>
        </w:rPr>
        <w:t xml:space="preserve">The seed round funds go-to-market, not development. The platform is built: FastAPI backend, SOC Dashboard, Admin Portal, 6 connector integrations (CrowdStrike, Tenable, Axonius, MISP, Splunk, Generic), real-time pipeline, and full Terraform infrastructure for US/EU/UAE on AWS EKS. First enterprise customer can be onboarded today.</w:t>
      </w:r>
    </w:p>
    <w:p>
      <w:r>
        <w:br w:type="page"/>
      </w:r>
    </w:p>
    <w:p>
      <w:pPr>
        <w:pStyle w:val="Heading1"/>
        <w:spacing w:after="220" w:before="440"/>
      </w:pPr>
      <w:r>
        <w:rPr>
          <w:rFonts w:ascii="Arial" w:cs="Arial" w:eastAsia="Arial" w:hAnsi="Arial"/>
          <w:b/>
          <w:bCs/>
          <w:sz w:val="36"/>
          <w:szCs w:val="36"/>
        </w:rPr>
        <w:t xml:space="preserve">2. The Competitive Moat in Plain Language</w:t>
      </w:r>
    </w:p>
    <w:p>
      <w:pPr>
        <w:pStyle w:val="Heading2"/>
        <w:spacing w:after="160" w:before="300"/>
      </w:pPr>
      <w:r>
        <w:rPr>
          <w:rFonts w:ascii="Arial" w:cs="Arial" w:eastAsia="Arial" w:hAnsi="Arial"/>
          <w:b/>
          <w:bCs/>
          <w:sz w:val="28"/>
          <w:szCs w:val="28"/>
        </w:rPr>
        <w:t xml:space="preserve">Why Axonius Can't Build This</w:t>
      </w:r>
    </w:p>
    <w:p>
      <w:pPr>
        <w:spacing w:after="80" w:before="80"/>
      </w:pPr>
      <w:r>
        <w:rPr>
          <w:rFonts w:ascii="Arial" w:cs="Arial" w:eastAsia="Arial" w:hAnsi="Arial"/>
          <w:sz w:val="22"/>
          <w:szCs w:val="22"/>
        </w:rPr>
        <w:t xml:space="preserve">Axonius is the market benchmark at $2.8B valuation and $200M ARR. It is an excellent asset aggregation platform. But Axonius was architected to be an integration hub — it deliberately does not do threat detection, correlation, or regulatory evidence. To add CDCS would require rebuilding their core product from the ground up, cannibalizing their integration-first business model, and competing with CrowdStrike and Splunk (their largest technology partners). This is the Innovator's Dilemma at $2.8B.</w:t>
      </w:r>
    </w:p>
    <w:p>
      <w:pPr>
        <w:spacing w:after="60" w:before="60"/>
      </w:pPr>
      <w:r>
        <w:t xml:space="preserve"/>
      </w:r>
    </w:p>
    <w:p>
      <w:pPr>
        <w:pStyle w:val="Heading2"/>
        <w:spacing w:after="160" w:before="300"/>
      </w:pPr>
      <w:r>
        <w:rPr>
          <w:rFonts w:ascii="Arial" w:cs="Arial" w:eastAsia="Arial" w:hAnsi="Arial"/>
          <w:b/>
          <w:bCs/>
          <w:sz w:val="28"/>
          <w:szCs w:val="28"/>
        </w:rPr>
        <w:t xml:space="preserve">Why CrowdStrike Can't Build This</w:t>
      </w:r>
    </w:p>
    <w:p>
      <w:pPr>
        <w:spacing w:after="80" w:before="80"/>
      </w:pPr>
      <w:r>
        <w:rPr>
          <w:rFonts w:ascii="Arial" w:cs="Arial" w:eastAsia="Arial" w:hAnsi="Arial"/>
          <w:sz w:val="22"/>
          <w:szCs w:val="22"/>
        </w:rPr>
        <w:t xml:space="preserve">CrowdStrike's entire value proposition is endpoint-first EDR. MACE's CDCS uses endpoint data as just one of six equal domains. For CrowdStrike to implement CDCS as designed, they would have to publicly acknowledge that endpoint signals alone are insufficient for incident prioritization — a direct contradiction of their sales narrative. Furthermore, MACE's probabilistic asset identity merge across non-CrowdStrike sources would require CrowdStrike to ingest competitor data and reduce it to an equal-weight input. This destroys their vendor lock-in model.</w:t>
      </w:r>
    </w:p>
    <w:p>
      <w:pPr>
        <w:spacing w:after="60" w:before="60"/>
      </w:pPr>
      <w:r>
        <w:t xml:space="preserve"/>
      </w:r>
    </w:p>
    <w:p>
      <w:pPr>
        <w:pStyle w:val="Heading2"/>
        <w:spacing w:after="160" w:before="300"/>
      </w:pPr>
      <w:r>
        <w:rPr>
          <w:rFonts w:ascii="Arial" w:cs="Arial" w:eastAsia="Arial" w:hAnsi="Arial"/>
          <w:b/>
          <w:bCs/>
          <w:sz w:val="28"/>
          <w:szCs w:val="28"/>
        </w:rPr>
        <w:t xml:space="preserve">The 21 MACE-Exclusive Capabilities</w:t>
      </w:r>
    </w:p>
    <w:p>
      <w:pPr>
        <w:spacing w:after="80" w:before="80"/>
      </w:pPr>
      <w:r>
        <w:rPr>
          <w:rFonts w:ascii="Arial" w:cs="Arial" w:eastAsia="Arial" w:hAnsi="Arial"/>
          <w:sz w:val="22"/>
          <w:szCs w:val="22"/>
        </w:rPr>
        <w:t xml:space="preserve">Based on published product documentation, API references, and security researcher testing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MACE-Exclusive Capability</w:t>
            </w:r>
          </w:p>
        </w:tc>
        <w:tc>
          <w:tcPr>
            <w:tcW w:type="dxa" w:w="61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Why Competitors Cannot Easily Replicate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Hardware-ID-boosted probabilistic asset merge (tau=0.38)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replacing Axonius's rule-based adapter matching engine — their entire infrastructure</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11-class exponential ACS temporal decay</w:t>
            </w:r>
          </w:p>
        </w:tc>
        <w:tc>
          <w:tcPr>
            <w:tcW w:type="dxa" w:w="6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No competitor has a time-decaying identity model; adding it breaks existing asset tracking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Six-domain CDCS formula (published weights)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Publishing the formula means committing to it; competitors use proprietary black-box models they can shift to avoid comparison</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Kill-chain multiplier (1.0-1.5x on MITRE ATT&amp;CK stage)</w:t>
            </w:r>
          </w:p>
        </w:tc>
        <w:tc>
          <w:tcPr>
            <w:tcW w:type="dxa" w:w="6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Requires mapping all events to ATT&amp;CK stages before scoring — most SIEMs do this post-hoc not pre-alert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EPSS + CISA KEV score boost into CDCS V-domain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daily EPSS feed integration and live KEV lookup baked into the scoring path</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Blast-radius lateral hop multiplier</w:t>
            </w:r>
          </w:p>
        </w:tc>
        <w:tc>
          <w:tcPr>
            <w:tcW w:type="dxa" w:w="6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Requires tracking lateral movement as part of the scoring formula — no SIEM does this pre-alert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FedRAMP SIR auto-generation (&lt;5 min)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understanding the exact FedRAMP report format and mapping incident fields to it — no competitor has shipped this</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GDPR Article 33/34 auto-draft (&lt;5 min)</w:t>
            </w:r>
          </w:p>
        </w:tc>
        <w:tc>
          <w:tcPr>
            <w:tcW w:type="dxa" w:w="6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Requires multi-jurisdiction legal expertise baked into the product, not added via a compliance module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NESA IAS / aeCERT reference number generation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deep UAE regulatory expertise that no US or European vendor has embedded at the algorithm level</w:t>
            </w:r>
          </w:p>
        </w:tc>
      </w:tr>
      <w:tr>
        <w:tc>
          <w:tcPr>
            <w:tcW w:type="dxa" w:w="3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SHA-256 chain of custody for evidence tamper-proofing</w:t>
            </w:r>
          </w:p>
        </w:tc>
        <w:tc>
          <w:tcPr>
            <w:tcW w:type="dxa" w:w="6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Requires designing the evidence storage as an immutable append-only chain from day one — retrofitting breaks existing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Adaptive weight learning via TP/FP feedback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exposing the scoring formula weights and creating a feedback loop — this exposes the model to gaming</w:t>
            </w:r>
          </w:p>
        </w:tc>
      </w:tr>
    </w:tbl>
    <w:p>
      <w:r>
        <w:br w:type="page"/>
      </w:r>
    </w:p>
    <w:p>
      <w:pPr>
        <w:pStyle w:val="Heading1"/>
        <w:spacing w:after="220" w:before="440"/>
      </w:pPr>
      <w:r>
        <w:rPr>
          <w:rFonts w:ascii="Arial" w:cs="Arial" w:eastAsia="Arial" w:hAnsi="Arial"/>
          <w:b/>
          <w:bCs/>
          <w:sz w:val="36"/>
          <w:szCs w:val="36"/>
        </w:rPr>
        <w:t xml:space="preserve">3. Financial Projections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600"/>
        <w:gridCol w:w="4960"/>
      </w:tblGrid>
      <w:tr>
        <w:tc>
          <w:tcPr>
            <w:tcW w:type="dxa" w:w="12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ARR</w:t>
            </w:r>
          </w:p>
        </w:tc>
        <w:tc>
          <w:tcPr>
            <w:tcW w:type="dxa" w:w="18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Customers</w:t>
            </w:r>
          </w:p>
        </w:tc>
        <w:tc>
          <w:tcPr>
            <w:tcW w:type="dxa" w:w="16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Avg ACV</w:t>
            </w:r>
          </w:p>
        </w:tc>
        <w:tc>
          <w:tcPr>
            <w:tcW w:type="dxa" w:w="49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1 (post-Seed)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FedRAMP Moderate authorization. US federal contractor initial contracts.</w:t>
            </w:r>
          </w:p>
        </w:tc>
      </w:tr>
      <w:tr>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Year 2</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$8M</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150</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$55k</w:t>
            </w:r>
          </w:p>
        </w:tc>
        <w:tc>
          <w:tcPr>
            <w:tcW w:type="dxa" w:w="4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First EU NIS2 enterprise contracts. UAE NESA-mandated customers.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Series A ($15-20M). FedRAMP High. DoD CMMC contracts.</w:t>
            </w:r>
          </w:p>
        </w:tc>
      </w:tr>
      <w:tr>
        <w:tc>
          <w:tcPr>
            <w:tcW w:type="dxa" w:w="1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Year 4</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$55M</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850</w:t>
            </w:r>
          </w:p>
        </w:tc>
        <w:tc>
          <w:tcPr>
            <w:tcW w:type="dxa" w:w="16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$65k</w:t>
            </w:r>
          </w:p>
        </w:tc>
        <w:tc>
          <w:tcPr>
            <w:tcW w:type="dxa" w:w="49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Series B. EU regional expansion. UAE government / sovereign fund customers.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IPO readiness or strategic acquisition target.</w:t>
            </w:r>
          </w:p>
        </w:tc>
      </w:tr>
    </w:tbl>
    <w:p>
      <w:pPr>
        <w:spacing w:after="60" w:before="60"/>
      </w:pPr>
      <w:r>
        <w:t xml:space="preserve"/>
      </w:r>
    </w:p>
    <w:p>
      <w:pPr>
        <w:spacing w:after="80" w:before="80"/>
      </w:pPr>
      <w:r>
        <w:rPr>
          <w:rFonts w:ascii="Arial" w:cs="Arial" w:eastAsia="Arial" w:hAnsi="Arial"/>
          <w:sz w:val="22"/>
          <w:szCs w:val="22"/>
        </w:rPr>
        <w:t xml:space="preserve">Valuation benchmarks: Axonius last raised at 14x ARR. Wiz at 20x+ ARR pre-acquisition. At $120M ARR with 14x multiple: $1.68B valuation. At 20x (MACE's superior regulatory mandate attachment): $2.4B. Seed investors at $5M on a $20-25M post-money valuation participate in this full upside.</w:t>
      </w:r>
    </w:p>
    <w:p>
      <w:r>
        <w:br w:type="page"/>
      </w:r>
    </w:p>
    <w:p>
      <w:pPr>
        <w:pStyle w:val="Heading1"/>
        <w:spacing w:after="220" w:before="440"/>
      </w:pPr>
      <w:r>
        <w:rPr>
          <w:rFonts w:ascii="Arial" w:cs="Arial" w:eastAsia="Arial" w:hAnsi="Arial"/>
          <w:b/>
          <w:bCs/>
          <w:sz w:val="36"/>
          <w:szCs w:val="36"/>
        </w:rPr>
        <w:t xml:space="preserve">4. Return Scenarios for Seed Investors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2000"/>
        <w:gridCol w:w="2060"/>
      </w:tblGrid>
      <w:tr>
        <w:tc>
          <w:tcPr>
            <w:tcW w:type="dxa" w:w="25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ARR at Exit</w:t>
            </w:r>
          </w:p>
        </w:tc>
        <w:tc>
          <w:tcPr>
            <w:tcW w:type="dxa" w:w="18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Multiple</w:t>
            </w:r>
          </w:p>
        </w:tc>
        <w:tc>
          <w:tcPr>
            <w:tcW w:type="dxa" w:w="20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Exit Valuation</w:t>
            </w:r>
          </w:p>
        </w:tc>
        <w:tc>
          <w:tcPr>
            <w:tcW w:type="dxa" w:w="20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Seed Return (est.)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 Strategic Acquisition 2030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$120M ARR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14x ARR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$1.68B</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33-67x on seed</w:t>
            </w:r>
          </w:p>
        </w:tc>
      </w:tr>
      <w:tr>
        <w:tc>
          <w:tcPr>
            <w:tcW w:type="dxa" w:w="25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Upside — IPO 2031</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$200M ARR</w:t>
            </w:r>
          </w:p>
        </w:tc>
        <w:tc>
          <w:tcPr>
            <w:tcW w:type="dxa" w:w="1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20x ARR</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$4.0B</w:t>
            </w:r>
          </w:p>
        </w:tc>
        <w:tc>
          <w:tcPr>
            <w:tcW w:type="dxa" w:w="20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80-160x on seed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Downside — Acqui-hire 2028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$30M ARR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 ARR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2-4x on seed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3A7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STRATEGIC ACQUIRERS</w:t>
            </w:r>
          </w:p>
        </w:tc>
        <w:tc>
          <w:tcPr>
            <w:tcW w:type="dxa" w:w="7960"/>
            <w:tcBorders>
              <w:top w:val="none" w:color="FFFFFF" w:sz="0"/>
              <w:left w:val="none" w:color="FFFFFF" w:sz="0"/>
              <w:bottom w:val="none" w:color="FFFFFF" w:sz="0"/>
              <w:right w:val="none" w:color="FFFFFF" w:sz="0"/>
            </w:tcBorders>
            <w:shd w:fill="E8F0FE" w:val="clear"/>
            <w:tcMar>
              <w:top w:type="dxa" w:w="100"/>
              <w:left w:type="dxa" w:w="140"/>
              <w:bottom w:type="dxa" w:w="100"/>
              <w:right w:type="dxa" w:w="140"/>
            </w:tcMar>
          </w:tcPr>
          <w:p>
            <w:r>
              <w:rPr>
                <w:rFonts w:ascii="Arial" w:cs="Arial" w:eastAsia="Arial" w:hAnsi="Arial"/>
                <w:sz w:val="20"/>
                <w:szCs w:val="20"/>
              </w:rPr>
              <w:t xml:space="preserve">US: Microsoft (Azure Security), CrowdStrike, Palo Alto Networks, IBM Security, Cisco. EU: SAP Security, Thales, Sophos. UAE: G42 (Mubadala), e&amp; (Etisalat), du. Any of these would pay a strategic premium for MACE's patent, regulatory evidence automation, and UAE/EU market position.</w:t>
            </w:r>
          </w:p>
        </w:tc>
      </w:tr>
    </w:tbl>
    <w:p>
      <w:r>
        <w:br w:type="page"/>
      </w:r>
    </w:p>
    <w:p>
      <w:r>
        <w:rPr>
          <w:b/>
          <w:sz w:val="32"/>
        </w:rPr>
        <w:t>ADDENDUM v2.1 — What v2.1 Means for Shareholder Value</w:t>
      </w:r>
    </w:p>
    <w:p>
      <w:r>
        <w:rPr>
          <w:b w:val="0"/>
          <w:sz w:val="22"/>
        </w:rPr>
        <w:t>The May 2026 update materially de-risks and re-prices the company. Three structural changes drive that conclusion:</w:t>
      </w:r>
    </w:p>
    <w:p>
      <w:r>
        <w:rPr>
          <w:b/>
          <w:sz w:val="26"/>
        </w:rPr>
        <w:t>1. Patent surface area expanded 3×</w:t>
      </w:r>
    </w:p>
    <w:p>
      <w:r>
        <w:rPr>
          <w:b w:val="0"/>
          <w:sz w:val="22"/>
        </w:rPr>
        <w:t>10 original claims → 30 claims. The new claims cover the unified endpoint agent and seven novel auxiliary methods (hardware-rooted attestation, federated learning, cyber digital-twin, quantum readiness, deepfake-voice detection, incident replay, GenAI tool-use). Each independently increases settlement leverage in any future infringement matter.</w:t>
      </w:r>
    </w:p>
    <w:p>
      <w:r>
        <w:rPr>
          <w:b/>
          <w:sz w:val="26"/>
        </w:rPr>
        <w:t>2. Product surface area is now &gt; one $1B incumbent each</w:t>
      </w:r>
    </w:p>
    <w:p>
      <w:r>
        <w:rPr>
          <w:b w:val="0"/>
          <w:sz w:val="22"/>
        </w:rPr>
        <w:t>CrowdStrike (mkt cap &gt; $80B), Tenable (~$5B), Zscaler (~$28B), Wiz ($12B pending Google), McAfee Enterprise (~$4B private). MACE 2.1 ships functional equivalents of all four — plus regulatory evidence and AI copilot that no incumbent ships natively — in a single binary.</w:t>
      </w:r>
    </w:p>
    <w:p>
      <w:r>
        <w:rPr>
          <w:b/>
          <w:sz w:val="26"/>
        </w:rPr>
        <w:t>3. Realistic exit valuations have widened</w:t>
      </w:r>
    </w:p>
    <w:p>
      <w:r>
        <w:rPr>
          <w:b w:val="0"/>
          <w:sz w:val="22"/>
        </w:rPr>
        <w:t xml:space="preserve">  Pre-revenue strategic acquisition         $20-40M (band the founder targets)</w:t>
      </w:r>
    </w:p>
    <w:p>
      <w:r>
        <w:rPr>
          <w:b w:val="0"/>
          <w:sz w:val="22"/>
        </w:rPr>
        <w:t xml:space="preserve">  Patent license to single major vendor    $5-15M (without selling the company)</w:t>
      </w:r>
    </w:p>
    <w:p>
      <w:r>
        <w:rPr>
          <w:b w:val="0"/>
          <w:sz w:val="22"/>
        </w:rPr>
        <w:t xml:space="preserve">  Series A in 9-12 months                  $80-120M post-money</w:t>
      </w:r>
    </w:p>
    <w:p>
      <w:r>
        <w:rPr>
          <w:b w:val="0"/>
          <w:sz w:val="22"/>
        </w:rPr>
        <w:t xml:space="preserve">  Year-3 revenue-stage strategic exit       $300-500M</w:t>
      </w:r>
    </w:p>
    <w:p>
      <w:r>
        <w:rPr>
          <w:b w:val="0"/>
          <w:sz w:val="22"/>
        </w:rPr>
        <w:t xml:space="preserve">  Year-7 IPO scenario                       $2-5B</w:t>
      </w:r>
    </w:p>
    <w:p>
      <w:r>
        <w:rPr>
          <w:b/>
          <w:sz w:val="26"/>
        </w:rPr>
        <w:t>Why this is more attractive than typical pre-revenue cyber</w:t>
      </w:r>
    </w:p>
    <w:p>
      <w:r>
        <w:rPr>
          <w:b w:val="0"/>
          <w:sz w:val="22"/>
        </w:rPr>
        <w:t xml:space="preserve"> • Patent in place across 5 jurisdictions (US, CA, EU, UAE, IN).</w:t>
      </w:r>
    </w:p>
    <w:p>
      <w:r>
        <w:rPr>
          <w:b w:val="0"/>
          <w:sz w:val="22"/>
        </w:rPr>
        <w:t xml:space="preserve"> • Working product across 5 device platforms; provable in a demo.</w:t>
      </w:r>
    </w:p>
    <w:p>
      <w:r>
        <w:rPr>
          <w:b w:val="0"/>
          <w:sz w:val="22"/>
        </w:rPr>
        <w:t xml:space="preserve"> • Regulatory profiles for 5 jurisdictions + 17 industries.</w:t>
      </w:r>
    </w:p>
    <w:p>
      <w:r>
        <w:rPr>
          <w:b w:val="0"/>
          <w:sz w:val="22"/>
        </w:rPr>
        <w:t xml:space="preserve"> • GenAI assistant included — defensible against the 'just another EDR' framing.</w:t>
      </w:r>
    </w:p>
    <w:p>
      <w:r>
        <w:rPr>
          <w:b w:val="0"/>
          <w:sz w:val="22"/>
        </w:rPr>
        <w:t xml:space="preserve"> • Hardware-rooted attestation — only vendor to ship this on endpoint.</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color w:val="0D2B4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A508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A609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2026-05-11T16:18:02.940Z</dcterms:created>
  <dcterms:modified xsi:type="dcterms:W3CDTF">2026-05-11T16:18:02.940Z</dcterms:modified>
</cp:coreProperties>
</file>

<file path=docProps/custom.xml><?xml version="1.0" encoding="utf-8"?>
<Properties xmlns="http://schemas.openxmlformats.org/officeDocument/2006/custom-properties" xmlns:vt="http://schemas.openxmlformats.org/officeDocument/2006/docPropsVTypes"/>
</file>