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name"/>
        <w:bidi w:val="0"/>
        <w:jc w:val="start"/>
        <w:rPr/>
      </w:pPr>
      <w:r>
        <w:rPr/>
        <w:t>VIVEK KUMAR SOLANKI</w:t>
      </w:r>
    </w:p>
    <w:p>
      <w:pPr>
        <w:pStyle w:val="BodyTextcontact"/>
        <w:bidi w:val="0"/>
        <w:jc w:val="start"/>
        <w:rPr/>
      </w:pPr>
      <w:r>
        <w:rPr/>
        <w:t>Santa Ana, CA  |  661-549-5045  |  viveksolanki2@gmail.com  |  U.S. Citizen</w:t>
      </w:r>
    </w:p>
    <w:p>
      <w:pPr>
        <w:pStyle w:val="Heading2"/>
        <w:bidi w:val="0"/>
        <w:ind w:hanging="0" w:start="120" w:end="120"/>
        <w:jc w:val="start"/>
        <w:rPr/>
      </w:pPr>
      <w:r>
        <w:rPr/>
        <w:t>Education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1"/>
        </w:rPr>
      </w:pPr>
      <w:r>
        <w:rPr>
          <w:b/>
          <w:sz w:val="21"/>
        </w:rPr>
        <w:t>California State Polytechnic University, Pomona</w:t>
      </w:r>
      <w:r>
        <w:rPr>
          <w:color w:val="333333"/>
          <w:sz w:val="20"/>
        </w:rPr>
        <w:t>May 2026</w:t>
      </w:r>
    </w:p>
    <w:p>
      <w:pPr>
        <w:pStyle w:val="BodyText"/>
        <w:bidi w:val="0"/>
        <w:spacing w:before="20" w:after="40"/>
        <w:ind w:hanging="0" w:start="20" w:end="20"/>
        <w:jc w:val="start"/>
        <w:rPr>
          <w:i/>
          <w:color w:val="444444"/>
          <w:sz w:val="19"/>
        </w:rPr>
      </w:pPr>
      <w:r>
        <w:rPr>
          <w:i/>
          <w:color w:val="444444"/>
          <w:sz w:val="19"/>
        </w:rPr>
        <w:t>B.S. Business Administration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Coursework: Financial Modeling, Corporate Finance Theory, Data Analytics in Finance, Managerial &amp; Financial Accounting, Investments </w:t>
      </w:r>
    </w:p>
    <w:p>
      <w:pPr>
        <w:pStyle w:val="Heading2"/>
        <w:bidi w:val="0"/>
        <w:jc w:val="start"/>
        <w:rPr/>
      </w:pPr>
      <w:r>
        <w:rPr/>
        <w:t>Experience</w:t>
      </w:r>
    </w:p>
    <w:p>
      <w:pPr>
        <w:pStyle w:val="BodyText"/>
        <w:bidi w:val="0"/>
        <w:spacing w:before="100" w:after="140"/>
        <w:ind w:hanging="0" w:start="0" w:end="0"/>
        <w:jc w:val="start"/>
        <w:rPr>
          <w:sz w:val="21"/>
        </w:rPr>
      </w:pPr>
      <w:r>
        <w:rPr>
          <w:b/>
          <w:sz w:val="21"/>
        </w:rPr>
        <w:t>International Financial Services Intern</w:t>
      </w:r>
      <w:r>
        <w:rPr>
          <w:sz w:val="21"/>
        </w:rPr>
        <w:t>, The Pacific Bridge Companies</w:t>
      </w:r>
      <w:r>
        <w:rPr>
          <w:color w:val="333333"/>
          <w:sz w:val="20"/>
        </w:rPr>
        <w:t>Jun 2026 – Present</w:t>
      </w:r>
    </w:p>
    <w:p>
      <w:pPr>
        <w:pStyle w:val="BodyText"/>
        <w:bidi w:val="0"/>
        <w:spacing w:before="20" w:after="40"/>
        <w:ind w:hanging="0" w:start="20" w:end="20"/>
        <w:jc w:val="start"/>
        <w:rPr>
          <w:i/>
          <w:color w:val="444444"/>
          <w:sz w:val="19"/>
        </w:rPr>
      </w:pPr>
      <w:r>
        <w:rPr>
          <w:i/>
          <w:color w:val="444444"/>
          <w:sz w:val="19"/>
        </w:rPr>
        <w:t>Cross-border US-Asia wealth management firm · Monrovia, CA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100" w:after="140"/>
        <w:ind w:hanging="283" w:start="709"/>
        <w:jc w:val="start"/>
        <w:rPr/>
      </w:pPr>
      <w:r>
        <w:rPr/>
        <w:t xml:space="preserve">Lead the immigration-attorney workstream of a firm-wide advisor recruitment initiative spanning financial advisors, CPAs, investment firms, and immigration attorneys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100" w:after="140"/>
        <w:ind w:hanging="283" w:start="709"/>
        <w:jc w:val="start"/>
        <w:rPr/>
      </w:pPr>
      <w:r>
        <w:rPr/>
        <w:t xml:space="preserve">Conduct market research and prospecting across four partner channels, building the outreach materials used to open conversations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100" w:after="140"/>
        <w:ind w:hanging="283" w:start="709"/>
        <w:jc w:val="start"/>
        <w:rPr/>
      </w:pPr>
      <w:r>
        <w:rPr/>
        <w:t xml:space="preserve">Maintain pipeline tracking and recurring reporting that gives firm leadership a current view of partnership progress </w:t>
      </w:r>
    </w:p>
    <w:p>
      <w:pPr>
        <w:pStyle w:val="BodyText"/>
        <w:bidi w:val="0"/>
        <w:spacing w:before="100" w:after="140"/>
        <w:ind w:hanging="0" w:start="0" w:end="0"/>
        <w:jc w:val="start"/>
        <w:rPr>
          <w:sz w:val="21"/>
        </w:rPr>
      </w:pPr>
      <w:r>
        <w:rPr>
          <w:b/>
          <w:sz w:val="21"/>
        </w:rPr>
        <w:t>Purchasing Agent, Financial Operations</w:t>
      </w:r>
      <w:r>
        <w:rPr>
          <w:sz w:val="21"/>
        </w:rPr>
        <w:t>, SeatScope LLC</w:t>
      </w:r>
      <w:r>
        <w:rPr>
          <w:color w:val="333333"/>
          <w:sz w:val="20"/>
        </w:rPr>
        <w:t>Jan 2022 – Oct 2025</w:t>
      </w:r>
    </w:p>
    <w:p>
      <w:pPr>
        <w:pStyle w:val="BodyText"/>
        <w:bidi w:val="0"/>
        <w:spacing w:before="20" w:after="40"/>
        <w:ind w:hanging="0" w:start="20" w:end="20"/>
        <w:jc w:val="start"/>
        <w:rPr>
          <w:i/>
          <w:color w:val="444444"/>
          <w:sz w:val="19"/>
        </w:rPr>
      </w:pPr>
      <w:r>
        <w:rPr>
          <w:i/>
          <w:color w:val="444444"/>
          <w:sz w:val="19"/>
        </w:rPr>
        <w:t>Early operator at a ticket resale startup that scaled past $1M in annual revenue · Remote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100" w:after="140"/>
        <w:ind w:hanging="283" w:start="709"/>
        <w:jc w:val="start"/>
        <w:rPr/>
      </w:pPr>
      <w:r>
        <w:rPr/>
        <w:t xml:space="preserve">Owned buying, pricing, and cost tracking across four marketplaces (Ticketmaster, StubHub, Vivid Seats, SeatGeek), operating with little supervision in a market where prices moved hourly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100" w:after="140"/>
        <w:ind w:hanging="283" w:start="709"/>
        <w:jc w:val="start"/>
        <w:rPr/>
      </w:pPr>
      <w:r>
        <w:rPr/>
        <w:t xml:space="preserve">Built pricing, scenario, and sensitivity models in Excel that set purchase limits and target margins, directly shaping how capital was deployed against inventory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100" w:after="140"/>
        <w:ind w:hanging="283" w:start="709"/>
        <w:jc w:val="start"/>
        <w:rPr/>
      </w:pPr>
      <w:r>
        <w:rPr/>
        <w:t xml:space="preserve">Reconciled P&amp;L across all four marketplaces and ran variance analysis to isolate the cost and pricing drivers behind margin swings </w:t>
      </w:r>
    </w:p>
    <w:p>
      <w:pPr>
        <w:pStyle w:val="BodyText"/>
        <w:bidi w:val="0"/>
        <w:spacing w:before="100" w:after="140"/>
        <w:ind w:hanging="0" w:start="0" w:end="0"/>
        <w:jc w:val="start"/>
        <w:rPr>
          <w:sz w:val="21"/>
        </w:rPr>
      </w:pPr>
      <w:r>
        <w:rPr>
          <w:b/>
          <w:sz w:val="21"/>
        </w:rPr>
        <w:t>Bookkeeper &amp; Property Improvement Coordinator</w:t>
      </w:r>
      <w:r>
        <w:rPr>
          <w:sz w:val="21"/>
        </w:rPr>
        <w:t>, Hotel Management Company</w:t>
      </w:r>
      <w:r>
        <w:rPr>
          <w:color w:val="333333"/>
          <w:sz w:val="20"/>
        </w:rPr>
        <w:t>2022 – 2023</w:t>
      </w:r>
    </w:p>
    <w:p>
      <w:pPr>
        <w:pStyle w:val="BodyText"/>
        <w:bidi w:val="0"/>
        <w:spacing w:before="20" w:after="40"/>
        <w:ind w:hanging="0" w:start="20" w:end="20"/>
        <w:jc w:val="start"/>
        <w:rPr>
          <w:i/>
          <w:color w:val="444444"/>
          <w:sz w:val="19"/>
        </w:rPr>
      </w:pPr>
      <w:r>
        <w:rPr>
          <w:i/>
          <w:color w:val="444444"/>
          <w:sz w:val="19"/>
        </w:rPr>
        <w:t>Independent contractor supporting 4+ properties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100" w:after="140"/>
        <w:ind w:hanging="283" w:start="709"/>
        <w:jc w:val="start"/>
        <w:rPr/>
      </w:pPr>
      <w:r>
        <w:rPr/>
        <w:t xml:space="preserve">Handled bookkeeping across 4+ properties including accounts payable and receivable, invoicing, and monthly reconciliation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100" w:after="140"/>
        <w:ind w:hanging="283" w:start="709"/>
        <w:jc w:val="start"/>
        <w:rPr/>
      </w:pPr>
      <w:r>
        <w:rPr/>
        <w:t xml:space="preserve">Reconciled pricing and financial data across properties in Nimble, resolving discrepancies between property-level and consolidated records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100" w:after="140"/>
        <w:ind w:hanging="283" w:start="709"/>
        <w:jc w:val="start"/>
        <w:rPr/>
      </w:pPr>
      <w:r>
        <w:rPr/>
        <w:t xml:space="preserve">Coordinated Property Improvement Plan documentation, vendor communication, and brand-standard tracking, routing approvals through DocuSign and Adobe Acrobat Sign </w:t>
      </w:r>
    </w:p>
    <w:p>
      <w:pPr>
        <w:pStyle w:val="Heading2"/>
        <w:bidi w:val="0"/>
        <w:jc w:val="start"/>
        <w:rPr/>
      </w:pPr>
      <w:r>
        <w:rPr/>
        <w:t>Skills</w:t>
      </w:r>
    </w:p>
    <w:p>
      <w:pPr>
        <w:pStyle w:val="BodyTextskills"/>
        <w:bidi w:val="0"/>
        <w:ind w:hanging="0" w:start="40" w:end="40"/>
        <w:jc w:val="start"/>
        <w:rPr/>
      </w:pPr>
      <w:r>
        <w:rPr>
          <w:b/>
        </w:rPr>
        <w:t>Analysis:</w:t>
      </w:r>
      <w:r>
        <w:rPr/>
        <w:t xml:space="preserve"> Financial modeling, budgeting and forecasting, scenario and sensitivity analysis, variance and root-cause analysis, unit economics, reconciliation, month-end close</w:t>
      </w:r>
    </w:p>
    <w:p>
      <w:pPr>
        <w:pStyle w:val="BodyTextskills"/>
        <w:bidi w:val="0"/>
        <w:ind w:hanging="0" w:start="40" w:end="40"/>
        <w:jc w:val="start"/>
        <w:rPr/>
      </w:pPr>
      <w:r>
        <w:rPr>
          <w:b/>
        </w:rPr>
        <w:t>Tools:</w:t>
      </w:r>
      <w:r>
        <w:rPr/>
        <w:t xml:space="preserve"> Advanced Excel (PivotTables, XLOOKUP, SUMIFS/COUNTIFS, data validation), Google Sheets, Microsoft Office, Nimble, DocuSign, Adobe Acrobat Sign</w:t>
      </w:r>
    </w:p>
    <w:p>
      <w:pPr>
        <w:pStyle w:val="BodyTextskills"/>
        <w:bidi w:val="0"/>
        <w:spacing w:before="40" w:after="40"/>
        <w:ind w:hanging="0" w:start="40" w:end="40"/>
        <w:jc w:val="start"/>
        <w:rPr/>
      </w:pPr>
      <w:r>
        <w:rPr>
          <w:b/>
        </w:rPr>
        <w:t>Also:</w:t>
      </w:r>
      <w:r>
        <w:rPr/>
        <w:t xml:space="preserve"> Currently learning Notion, Monaco, and Claude Code · Fluent in English, Spanish, and Hindi · Maintains a small personal equities and options portfolio</w:t>
      </w:r>
    </w:p>
    <w:sectPr>
      <w:type w:val="nextPage"/>
      <w:pgSz w:w="12240" w:h="15840"/>
      <w:pgMar w:left="936" w:right="936" w:gutter="0" w:header="0" w:top="720" w:footer="0" w:bottom="72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us-ascii"/>
    <w:family w:val="roman"/>
    <w:pitch w:val="variable"/>
  </w:font>
  <w:font w:name="Calibri">
    <w:altName w:val="Carlito"/>
    <w:charset w:val="00" w:characterSet="us-ascii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us-ascii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276"/>
    </w:pPr>
    <w:rPr>
      <w:rFonts w:ascii="Calibri;Carlito;Arial;sans-serif" w:hAnsi="Calibri;Carlito;Arial;sans-serif" w:eastAsia="Calibri;Carlito;Arial;sans-serif" w:cs="Calibri;Carlito;Arial;sans-serif"/>
      <w:color w:val="000000"/>
      <w:sz w:val="20"/>
      <w:szCs w:val="20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WenQuanYi Zen Hei" w:cs="FreeSans"/>
      <w:b/>
      <w:bCs/>
      <w:caps/>
      <w:color w:val="1F3864"/>
      <w:sz w:val="22"/>
      <w:szCs w:val="2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Textskills">
    <w:name w:val="Body Text.skills"/>
    <w:basedOn w:val="BodyText"/>
    <w:qFormat/>
    <w:pPr>
      <w:spacing w:before="40" w:after="40"/>
      <w:ind w:start="40" w:end="40"/>
    </w:pPr>
    <w:rPr/>
  </w:style>
  <w:style w:type="paragraph" w:styleId="BodyTextname">
    <w:name w:val="Body Text.name"/>
    <w:basedOn w:val="BodyText"/>
    <w:qFormat/>
    <w:pPr/>
    <w:rPr>
      <w:b/>
      <w:bCs/>
      <w:color w:val="1F3864"/>
      <w:sz w:val="38"/>
      <w:szCs w:val="38"/>
    </w:rPr>
  </w:style>
  <w:style w:type="paragraph" w:styleId="BodyTextcontact">
    <w:name w:val="Body Text.contact"/>
    <w:basedOn w:val="BodyText"/>
    <w:qFormat/>
    <w:pPr>
      <w:spacing w:before="60" w:after="60"/>
      <w:ind w:start="60" w:end="60"/>
    </w:pPr>
    <w:rPr>
      <w:color w:val="333333"/>
      <w:sz w:val="19"/>
      <w:szCs w:val="19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