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86020"/>
          <w:sz w:val="22"/>
        </w:rPr>
        <w:t>DHANAVRITTI WEBSITE</w:t>
      </w:r>
    </w:p>
    <w:p>
      <w:pPr>
        <w:spacing w:after="80"/>
        <w:jc w:val="center"/>
      </w:pPr>
      <w:r>
        <w:rPr>
          <w:rFonts w:ascii="Calibri" w:hAnsi="Calibri"/>
          <w:b/>
          <w:color w:val="1A1A1A"/>
          <w:sz w:val="44"/>
        </w:rPr>
        <w:t>Client Brief: Website Value, Technology &amp; Lead Flow</w:t>
      </w:r>
    </w:p>
    <w:p>
      <w:pPr>
        <w:spacing w:after="360"/>
        <w:jc w:val="center"/>
      </w:pPr>
      <w:r>
        <w:rPr>
          <w:rFonts w:ascii="Calibri" w:hAnsi="Calibri"/>
          <w:b w:val="0"/>
          <w:color w:val="546257"/>
          <w:sz w:val="22"/>
        </w:rPr>
        <w:t>A modern, secure, high-performance website built for credibility, investor confidence, and structured application handling.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0F9F3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086020"/>
                <w:sz w:val="24"/>
              </w:rPr>
              <w:t>Executive Summary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46257"/>
                <w:sz w:val="21"/>
              </w:rPr>
              <w:t>The website is not a basic WordPress CMS build. It is a custom Next.js application with a premium interface, fast deployment pipeline, secure form handling, branded transactional emails, CAPTCHA protection, and a future-ready backend architecture.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Calibri" w:hAnsi="Calibri"/>
          <w:b/>
          <w:color w:val="086020"/>
          <w:sz w:val="32"/>
        </w:rPr>
        <w:t>What Makes This Website Strong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Modern custom technology stack: </w:t>
      </w:r>
      <w:r>
        <w:rPr>
          <w:rFonts w:ascii="Calibri" w:hAnsi="Calibri"/>
          <w:b w:val="0"/>
          <w:color w:val="1A1A1A"/>
          <w:sz w:val="22"/>
        </w:rPr>
        <w:t>Built using Next.js, React, Tailwind CSS, and Vercel instead of a heavy WordPress theme/plugin stack.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Premium brand experience: </w:t>
      </w:r>
      <w:r>
        <w:rPr>
          <w:rFonts w:ascii="Calibri" w:hAnsi="Calibri"/>
          <w:b w:val="0"/>
          <w:color w:val="1A1A1A"/>
          <w:sz w:val="22"/>
        </w:rPr>
        <w:t>Custom visual design, refined spacing, brand-led colors, polished sections, and a professional investment-platform feel.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Fast and smooth user experience: </w:t>
      </w:r>
      <w:r>
        <w:rPr>
          <w:rFonts w:ascii="Calibri" w:hAnsi="Calibri"/>
          <w:b w:val="0"/>
          <w:color w:val="1A1A1A"/>
          <w:sz w:val="22"/>
        </w:rPr>
        <w:t>No unnecessary WordPress plugins or page-builder bloat, resulting in faster loading and a cleaner browsing experience.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High-quality animation layer: </w:t>
      </w:r>
      <w:r>
        <w:rPr>
          <w:rFonts w:ascii="Calibri" w:hAnsi="Calibri"/>
          <w:b w:val="0"/>
          <w:color w:val="1A1A1A"/>
          <w:sz w:val="22"/>
        </w:rPr>
        <w:t>Smooth, controlled animations create a premium feel without making the site feel slow or heavy.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Secure application handling: </w:t>
      </w:r>
      <w:r>
        <w:rPr>
          <w:rFonts w:ascii="Calibri" w:hAnsi="Calibri"/>
          <w:b w:val="0"/>
          <w:color w:val="1A1A1A"/>
          <w:sz w:val="22"/>
        </w:rPr>
        <w:t>Server-side validation, file type checks, file size checks, CAPTCHA protection, and rate limiting help protect against spam and misuse.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Professional email workflow: </w:t>
      </w:r>
      <w:r>
        <w:rPr>
          <w:rFonts w:ascii="Calibri" w:hAnsi="Calibri"/>
          <w:b w:val="0"/>
          <w:color w:val="1A1A1A"/>
          <w:sz w:val="22"/>
        </w:rPr>
        <w:t>The platform sends branded HTML emails to the internal team and confirmation emails to applicants.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Better email deliverability foundation: </w:t>
      </w:r>
      <w:r>
        <w:rPr>
          <w:rFonts w:ascii="Calibri" w:hAnsi="Calibri"/>
          <w:b w:val="0"/>
          <w:color w:val="1A1A1A"/>
          <w:sz w:val="22"/>
        </w:rPr>
        <w:t>Resend can be used with a verified sending domain, SPF, DKIM, and DMARC records to reduce spam risk and improve transactional email reliability.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Deployment pipeline ready: </w:t>
      </w:r>
      <w:r>
        <w:rPr>
          <w:rFonts w:ascii="Calibri" w:hAnsi="Calibri"/>
          <w:b w:val="0"/>
          <w:color w:val="1A1A1A"/>
          <w:sz w:val="22"/>
        </w:rPr>
        <w:t>Future updates can be deployed quickly through the configured Vercel pipeline instead of manual CMS edits.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Future-ready architecture: </w:t>
      </w:r>
      <w:r>
        <w:rPr>
          <w:rFonts w:ascii="Calibri" w:hAnsi="Calibri"/>
          <w:b w:val="0"/>
          <w:color w:val="1A1A1A"/>
          <w:sz w:val="22"/>
        </w:rPr>
        <w:t>The site can later support database storage, Google Sheets sync, dashboards, analytics, CRM-style lead tracking, and admin workflows.</w:t>
      </w:r>
    </w:p>
    <w:p>
      <w:pPr>
        <w:spacing w:before="320" w:after="120"/>
      </w:pPr>
      <w:r>
        <w:rPr>
          <w:rFonts w:ascii="Calibri" w:hAnsi="Calibri"/>
          <w:b/>
          <w:color w:val="086020"/>
          <w:sz w:val="32"/>
        </w:rPr>
        <w:t>Why This Is Better Than A Typical WordPress CMS Website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F0F9F3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86020"/>
                <w:sz w:val="21"/>
              </w:rPr>
              <w:t>Area</w:t>
            </w:r>
          </w:p>
        </w:tc>
        <w:tc>
          <w:tcPr>
            <w:tcW w:type="dxa" w:w="3384"/>
            <w:shd w:fill="F0F9F3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86020"/>
                <w:sz w:val="21"/>
              </w:rPr>
              <w:t>Typical WordPress CMS</w:t>
            </w:r>
          </w:p>
        </w:tc>
        <w:tc>
          <w:tcPr>
            <w:tcW w:type="dxa" w:w="3600"/>
            <w:shd w:fill="F0F9F3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86020"/>
                <w:sz w:val="21"/>
              </w:rPr>
              <w:t>Current Custom Website</w:t>
            </w:r>
          </w:p>
        </w:tc>
      </w:tr>
      <w:tr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7FBF4"/>
          </w:tcPr>
          <w:p>
            <w:r>
              <w:rPr>
                <w:rFonts w:ascii="Calibri" w:hAnsi="Calibri"/>
                <w:b/>
                <w:color w:val="086020"/>
                <w:sz w:val="19"/>
              </w:rPr>
              <w:t>Performance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Often slowed by themes, plugins, and page builders.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Lightweight custom frontend with faster page experience.</w:t>
            </w:r>
          </w:p>
        </w:tc>
      </w:tr>
      <w:tr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7FBF4"/>
          </w:tcPr>
          <w:p>
            <w:r>
              <w:rPr>
                <w:rFonts w:ascii="Calibri" w:hAnsi="Calibri"/>
                <w:b/>
                <w:color w:val="086020"/>
                <w:sz w:val="19"/>
              </w:rPr>
              <w:t>Design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Commonly template-based and less differentiated.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Premium custom look designed around the Dhanavritti brand.</w:t>
            </w:r>
          </w:p>
        </w:tc>
      </w:tr>
      <w:tr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7FBF4"/>
          </w:tcPr>
          <w:p>
            <w:r>
              <w:rPr>
                <w:rFonts w:ascii="Calibri" w:hAnsi="Calibri"/>
                <w:b/>
                <w:color w:val="086020"/>
                <w:sz w:val="19"/>
              </w:rPr>
              <w:t>Security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Plugin/admin vulnerabilities must be continuously managed.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Smaller attack surface with controlled custom code.</w:t>
            </w:r>
          </w:p>
        </w:tc>
      </w:tr>
      <w:tr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7FBF4"/>
          </w:tcPr>
          <w:p>
            <w:r>
              <w:rPr>
                <w:rFonts w:ascii="Calibri" w:hAnsi="Calibri"/>
                <w:b/>
                <w:color w:val="086020"/>
                <w:sz w:val="19"/>
              </w:rPr>
              <w:t>Forms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Usually dependent on third-party form plugins.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Custom application API with validation, file checks, CAPTCHA, and rate limiting.</w:t>
            </w:r>
          </w:p>
        </w:tc>
      </w:tr>
      <w:tr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7FBF4"/>
          </w:tcPr>
          <w:p>
            <w:r>
              <w:rPr>
                <w:rFonts w:ascii="Calibri" w:hAnsi="Calibri"/>
                <w:b/>
                <w:color w:val="086020"/>
                <w:sz w:val="19"/>
              </w:rPr>
              <w:t>Email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Often depends on hosting mail or SMTP plugins.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Transactional email workflow using Resend-ready infrastructure.</w:t>
            </w:r>
          </w:p>
        </w:tc>
      </w:tr>
      <w:tr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7FBF4"/>
          </w:tcPr>
          <w:p>
            <w:r>
              <w:rPr>
                <w:rFonts w:ascii="Calibri" w:hAnsi="Calibri"/>
                <w:b/>
                <w:color w:val="086020"/>
                <w:sz w:val="19"/>
              </w:rPr>
              <w:t>Scalability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Can become messy as plugins increase.</w:t>
            </w:r>
          </w:p>
        </w:tc>
        <w:tc>
          <w:tcPr>
            <w:tcW w:type="dxa" w:w="312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A1A1A"/>
                <w:sz w:val="19"/>
              </w:rPr>
              <w:t>Can evolve into backend database, Sheets sync, dashboard, and CRM-like workflows.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086020"/>
          <w:sz w:val="32"/>
        </w:rPr>
        <w:t>Current Application Flow</w:t>
      </w:r>
    </w:p>
    <w:p>
      <w:pPr>
        <w:spacing w:before="220" w:after="120"/>
      </w:pPr>
      <w:r>
        <w:rPr>
          <w:rFonts w:ascii="Calibri" w:hAnsi="Calibri"/>
          <w:b/>
          <w:color w:val="086020"/>
          <w:sz w:val="26"/>
        </w:rPr>
        <w:t>Current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1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Founder visits the Apply page and fills company, founder, email, phone, and pitch deck details.</w:t>
            </w:r>
          </w:p>
        </w:tc>
      </w:tr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2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Cloudflare Turnstile CAPTCHA and server-side checks protect the form from bots and spam submissions.</w:t>
            </w:r>
          </w:p>
        </w:tc>
      </w:tr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3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Uploaded files are validated by size and allowed file type before processing.</w:t>
            </w:r>
          </w:p>
        </w:tc>
      </w:tr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4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The internal Dhanavritti team receives a branded application email with the applicant details and attached pitch deck.</w:t>
            </w:r>
          </w:p>
        </w:tc>
      </w:tr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5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The applicant receives a branded confirmation email acknowledging that the application has been received.</w:t>
            </w:r>
          </w:p>
        </w:tc>
      </w:tr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6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If backend database credentials are enabled, application metadata can also be stored in the backend database.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Calibri" w:hAnsi="Calibri"/>
          <w:b/>
          <w:color w:val="086020"/>
          <w:sz w:val="32"/>
        </w:rPr>
        <w:t>Recommended Future Enhancement Flow</w:t>
      </w:r>
    </w:p>
    <w:p>
      <w:pPr>
        <w:spacing w:before="0" w:after="160" w:line="264" w:lineRule="auto"/>
      </w:pPr>
      <w:r>
        <w:rPr>
          <w:rFonts w:ascii="Calibri" w:hAnsi="Calibri"/>
          <w:b w:val="0"/>
          <w:color w:val="1A1A1A"/>
          <w:sz w:val="22"/>
        </w:rPr>
        <w:t xml:space="preserve">If the client wants a more structured lead-management process, the website can be extended with </w:t>
      </w:r>
      <w:r>
        <w:rPr>
          <w:rFonts w:ascii="Calibri" w:hAnsi="Calibri"/>
          <w:b/>
          <w:color w:val="1A1A1A"/>
          <w:sz w:val="22"/>
        </w:rPr>
        <w:t>Google Sheet sync, secure pitch deck links, and backend database storage</w:t>
      </w:r>
      <w:r>
        <w:rPr>
          <w:rFonts w:ascii="Calibri" w:hAnsi="Calibri"/>
          <w:b w:val="0"/>
          <w:color w:val="1A1A1A"/>
          <w:sz w:val="22"/>
        </w:rPr>
        <w:t>. This can be treated as a separate enhancement phase after approval.</w:t>
      </w:r>
    </w:p>
    <w:p>
      <w:pPr>
        <w:spacing w:before="220" w:after="120"/>
      </w:pPr>
      <w:r>
        <w:rPr>
          <w:rFonts w:ascii="Calibri" w:hAnsi="Calibri"/>
          <w:b/>
          <w:color w:val="086020"/>
          <w:sz w:val="26"/>
        </w:rPr>
        <w:t>Future Flow With Sheet + Backend Database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1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Founder submits the application form and uploads the pitch deck.</w:t>
            </w:r>
          </w:p>
        </w:tc>
      </w:tr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2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Pitch deck is saved to secure storage and a private/shareable file link is generated.</w:t>
            </w:r>
          </w:p>
        </w:tc>
      </w:tr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3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Application details are stored in the backend database for long-term tracking and future dashboard use.</w:t>
            </w:r>
          </w:p>
        </w:tc>
      </w:tr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4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A Google Sheet is automatically updated with company name, founder name, email, phone, timestamp, status, and pitch deck link.</w:t>
            </w:r>
          </w:p>
        </w:tc>
      </w:tr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5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The Dhanavritti team receives a branded email notification with the key details and deck access link.</w:t>
            </w:r>
          </w:p>
        </w:tc>
      </w:tr>
      <w:tr>
        <w:tc>
          <w:tcPr>
            <w:tcW w:type="dxa" w:w="1440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BF4"/>
          </w:tcPr>
          <w:p>
            <w:pPr>
              <w:jc w:val="center"/>
            </w:pPr>
            <w:r>
              <w:rPr>
                <w:rFonts w:ascii="Calibri" w:hAnsi="Calibri"/>
                <w:b/>
                <w:color w:val="086020"/>
                <w:sz w:val="20"/>
              </w:rPr>
              <w:t>Step 6</w:t>
            </w:r>
          </w:p>
        </w:tc>
        <w:tc>
          <w:tcPr>
            <w:tcW w:type="dxa" w:w="7704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21"/>
              </w:rPr>
              <w:t>The applicant receives a confirmation email, while the team can later search, filter, export, or build review workflows from the stored data.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Calibri" w:hAnsi="Calibri"/>
          <w:b/>
          <w:color w:val="086020"/>
          <w:sz w:val="32"/>
        </w:rPr>
        <w:t>Important Notes For The Client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Email deliverability: </w:t>
      </w:r>
      <w:r>
        <w:rPr>
          <w:rFonts w:ascii="Calibri" w:hAnsi="Calibri"/>
          <w:b w:val="0"/>
          <w:color w:val="1A1A1A"/>
          <w:sz w:val="22"/>
        </w:rPr>
        <w:t>No provider can honestly guarantee that emails will never enter spam. However, using Resend with verified domain records such as SPF, DKIM, and DMARC gives a much stronger professional deliverability setup than basic hosting email.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Official recipient email: </w:t>
      </w:r>
      <w:r>
        <w:rPr>
          <w:rFonts w:ascii="Calibri" w:hAnsi="Calibri"/>
          <w:b w:val="0"/>
          <w:color w:val="1A1A1A"/>
          <w:sz w:val="22"/>
        </w:rPr>
        <w:t>The current setup can send applications to the official Dhanavritti contact email once the final email address and domain settings are confirmed.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Database and Sheet sync: </w:t>
      </w:r>
      <w:r>
        <w:rPr>
          <w:rFonts w:ascii="Calibri" w:hAnsi="Calibri"/>
          <w:b w:val="0"/>
          <w:color w:val="1A1A1A"/>
          <w:sz w:val="22"/>
        </w:rPr>
        <w:t>Database storage and Google Sheet automation are valuable future add-ons if the team wants structured lead tracking beyond email notifications.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A1A1A"/>
          <w:sz w:val="22"/>
        </w:rPr>
        <w:t xml:space="preserve">Maintenance advantage: </w:t>
      </w:r>
      <w:r>
        <w:rPr>
          <w:rFonts w:ascii="Calibri" w:hAnsi="Calibri"/>
          <w:b w:val="0"/>
          <w:color w:val="1A1A1A"/>
          <w:sz w:val="22"/>
        </w:rPr>
        <w:t>The custom setup avoids common WordPress plugin conflicts and allows cleaner future development.</w:t>
      </w:r>
    </w:p>
    <w:p>
      <w:pPr>
        <w:spacing w:before="320" w:after="120"/>
      </w:pPr>
      <w:r>
        <w:rPr>
          <w:rFonts w:ascii="Calibri" w:hAnsi="Calibri"/>
          <w:b/>
          <w:color w:val="086020"/>
          <w:sz w:val="32"/>
        </w:rPr>
        <w:t>Suggested Client Positioning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0F9F3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086020"/>
                <w:sz w:val="24"/>
              </w:rPr>
              <w:t>Positioning Statement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46257"/>
                <w:sz w:val="21"/>
              </w:rPr>
              <w:t>This website is built as a modern digital platform for Dhanavritti, not just as an informational website. It supports brand credibility, a premium first impression, secure application intake, professional communication, and future business-process automation.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