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F0" w:rsidRPr="004B041F" w:rsidRDefault="00D656D5" w:rsidP="006C59A7">
      <w:pPr>
        <w:pStyle w:val="LabHeader"/>
      </w:pPr>
      <w:r>
        <w:t xml:space="preserve">Configuring </w:t>
      </w:r>
      <w:bookmarkStart w:id="0" w:name="_GoBack"/>
      <w:bookmarkEnd w:id="0"/>
      <w:r w:rsidR="009C3BEE">
        <w:t>Financial Holds</w:t>
      </w:r>
    </w:p>
    <w:p w:rsidR="00DC25A6" w:rsidRPr="004B041F" w:rsidRDefault="00C342B9" w:rsidP="00622B2A">
      <w:pPr>
        <w:pStyle w:val="PartHeader"/>
      </w:pPr>
      <w:r>
        <w:t>Exercise</w:t>
      </w:r>
      <w:r w:rsidR="00DC25A6" w:rsidRPr="004B041F">
        <w:t>: Configuration</w:t>
      </w:r>
    </w:p>
    <w:p w:rsidR="00DC25A6" w:rsidRPr="004B041F" w:rsidRDefault="00DC25A6" w:rsidP="00DC25A6">
      <w:pPr>
        <w:pStyle w:val="SectionHeader"/>
      </w:pPr>
      <w:r w:rsidRPr="004B041F">
        <w:t>Requirement(s)</w:t>
      </w:r>
    </w:p>
    <w:p w:rsidR="00DC25A6" w:rsidRPr="004B041F" w:rsidRDefault="006820B5" w:rsidP="00A969B2">
      <w:pPr>
        <w:pStyle w:val="NormalText"/>
      </w:pPr>
      <w:r>
        <w:t>The c</w:t>
      </w:r>
      <w:r w:rsidR="00DC25A6" w:rsidRPr="004B041F">
        <w:t xml:space="preserve">ustomer wants </w:t>
      </w:r>
      <w:r w:rsidR="003B55E5">
        <w:t xml:space="preserve">financial holds to be in place when </w:t>
      </w:r>
      <w:r w:rsidR="00831225">
        <w:t>a</w:t>
      </w:r>
      <w:r w:rsidR="003B55E5">
        <w:t xml:space="preserve"> claim is in litigation</w:t>
      </w:r>
      <w:r w:rsidR="00DC25A6" w:rsidRPr="004B041F">
        <w:t>.</w:t>
      </w:r>
    </w:p>
    <w:p w:rsidR="004C1614" w:rsidRPr="004B041F" w:rsidRDefault="004C1614" w:rsidP="004C1614">
      <w:pPr>
        <w:pStyle w:val="SectionHeader"/>
      </w:pPr>
      <w:r w:rsidRPr="004B041F">
        <w:t>Specifications</w:t>
      </w:r>
    </w:p>
    <w:p w:rsidR="004C1614" w:rsidRPr="00A10C29" w:rsidRDefault="004C1614" w:rsidP="00A10C29">
      <w:pPr>
        <w:pStyle w:val="Spec"/>
        <w:rPr>
          <w:rFonts w:ascii="Arial" w:hAnsi="Arial" w:cs="Arial"/>
        </w:rPr>
      </w:pPr>
      <w:r>
        <w:rPr>
          <w:rFonts w:ascii="Arial" w:hAnsi="Arial" w:cs="Arial"/>
        </w:rPr>
        <w:t xml:space="preserve">If a claim is in litigation, no indemnity payments </w:t>
      </w:r>
      <w:r w:rsidR="006820B5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allowed, but expense payments </w:t>
      </w:r>
      <w:r w:rsidR="006820B5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allowed with a warning.</w:t>
      </w:r>
    </w:p>
    <w:p w:rsidR="00025105" w:rsidRPr="00025105" w:rsidRDefault="00C56714" w:rsidP="004C1614">
      <w:pPr>
        <w:pStyle w:val="NoteStyle"/>
        <w:rPr>
          <w:b/>
        </w:rPr>
      </w:pPr>
      <w:r>
        <w:rPr>
          <w:rFonts w:ascii="Helvetica" w:hAnsi="Helvetica" w:cs="Helvetic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14C6E" wp14:editId="3DFE06C8">
                <wp:simplePos x="0" y="0"/>
                <wp:positionH relativeFrom="column">
                  <wp:posOffset>1530706</wp:posOffset>
                </wp:positionH>
                <wp:positionV relativeFrom="paragraph">
                  <wp:posOffset>704953</wp:posOffset>
                </wp:positionV>
                <wp:extent cx="233527" cy="256006"/>
                <wp:effectExtent l="0" t="0" r="14605" b="1079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527" cy="25600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6" style="position:absolute;margin-left:120.55pt;margin-top:55.5pt;width:18.4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XHhwIAAB8FAAAOAAAAZHJzL2Uyb0RvYy54bWysVNuO0zAQfUfiHyy/d3NpmrbRpquqaRDS&#10;AisWPsCNncbg2MF2my6If2fspGXLviBEHhzbY5+ZM3PGt3enVqAj04YrmePoJsSIyUpRLvc5/vyp&#10;nCwwMpZISoSSLMdPzOC71etXt32XsVg1SlCmEYBIk/VdjhtruywITNWwlpgb1TEJxlrpllhY6n1A&#10;NekBvRVBHIZp0CtNO60qZgzsFoMRrzx+XbPKfqhrwywSOYbYrB+1H3duDFa3JNtr0jW8GsMg/xBF&#10;S7gEpxeogliCDpq/gGp5pZVRtb2pVBuouuYV8xyATRT+weaxIR3zXCA5prukyfw/2Or98UEjTnO8&#10;xEiSFkq0PljlPaModvnpO5PBscfuQTuGprtX1VeDpNo0RO7ZWmvVN4xQiCpy54OrC25h4Cra9e8U&#10;BXgC8D5Vp1q3DhCSgE6+Ik+XirCTRRVsxtPpLJ5jVIEpnqVQcO+BZOfLnTb2DVMtcpMca3WQ9CNU&#10;3Xsgx3tjfVXoyI3QLxjVrYAaH4lAUZqm8xFxPByQ7IzpbkpVciG8SoREPaRpFs88uFGCU2f0SdH7&#10;3UZoBKA5LssQvhH26pgPz4O5hG0l9XNLuBjm4FxIhwf8x9BdJryQfizD5XaxXSSTJE63kyQsism6&#10;3CSTtIzms2JabDZF9NOFFiVZwyll0kV3FnWU/J1oxvYa5HiR9RULc022hO8l2eA6DJCFZ3X+e3Ze&#10;KU4cg8h2ij6BULQauhReFZg0Sn/HqIcOzbH5diCaYSTeShDbMkoS19J+kczmMSz0c8vuuYXICqBy&#10;bDEaphs7PAOHTvN9A54iX1apnP5rbs9KHqIaZQ1d6BmML4Zr8+drf+r3u7b6BQAA//8DAFBLAwQU&#10;AAYACAAAACEAJr97ruAAAAALAQAADwAAAGRycy9kb3ducmV2LnhtbEyPwU7DMBBE70j8g7VI3Kjj&#10;UFoIcSpUQMqhFxo+YBubJCVep7HbBr6e5QTHnXmanclXk+vFyY6h86RBzRIQlmpvOmo0vFevN/cg&#10;QkQy2HuyGr5sgFVxeZFjZvyZ3uxpGxvBIRQy1NDGOGRShrq1DsPMD5bY+/Cjw8jn2Egz4pnDXS/T&#10;JFlIhx3xhxYHu25t/bk9Og3f+001xOllLZ/L6nAo3Rz3i1Lr66vp6RFEtFP8g+G3PleHgjvt/JFM&#10;EL2GdK4Uo2woxaOYSJfLBxA7Vu7ULcgil/83FD8AAAD//wMAUEsBAi0AFAAGAAgAAAAhALaDOJL+&#10;AAAA4QEAABMAAAAAAAAAAAAAAAAAAAAAAFtDb250ZW50X1R5cGVzXS54bWxQSwECLQAUAAYACAAA&#10;ACEAOP0h/9YAAACUAQAACwAAAAAAAAAAAAAAAAAvAQAAX3JlbHMvLnJlbHNQSwECLQAUAAYACAAA&#10;ACEApGH1x4cCAAAfBQAADgAAAAAAAAAAAAAAAAAuAgAAZHJzL2Uyb0RvYy54bWxQSwECLQAUAAYA&#10;CAAAACEAJr97ruAAAAALAQAADwAAAAAAAAAAAAAAAADhBAAAZHJzL2Rvd25yZXYueG1sUEsFBgAA&#10;AAAEAAQA8wAAAO4FAAAAAA==&#10;" filled="f" strokecolor="red"/>
            </w:pict>
          </mc:Fallback>
        </mc:AlternateContent>
      </w:r>
      <w:r w:rsidR="006820B5">
        <w:t>A claim's l</w:t>
      </w:r>
      <w:r w:rsidR="004C1614">
        <w:t xml:space="preserve">itigation status </w:t>
      </w:r>
      <w:r>
        <w:t>is signaled by the presence of the litigation icon (a brown gavel) on the right side of the Info Bar:</w:t>
      </w:r>
      <w:r>
        <w:br/>
      </w:r>
      <w:r>
        <w:rPr>
          <w:noProof/>
          <w:lang w:bidi="ar-SA"/>
        </w:rPr>
        <w:drawing>
          <wp:inline distT="0" distB="0" distL="0" distR="0" wp14:anchorId="0DF2D207" wp14:editId="377020A6">
            <wp:extent cx="2084832" cy="521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057" cy="5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E6" w:rsidRPr="00C56714" w:rsidRDefault="00025105" w:rsidP="00C56714">
      <w:pPr>
        <w:pStyle w:val="NoteStyle"/>
        <w:rPr>
          <w:b/>
        </w:rPr>
      </w:pPr>
      <w:r>
        <w:t xml:space="preserve">The litigation status is stored in </w:t>
      </w:r>
      <w:r w:rsidRPr="006820B5">
        <w:rPr>
          <w:b/>
        </w:rPr>
        <w:t xml:space="preserve">the </w:t>
      </w:r>
      <w:proofErr w:type="spellStart"/>
      <w:r w:rsidR="004C1614" w:rsidRPr="006820B5">
        <w:rPr>
          <w:b/>
        </w:rPr>
        <w:t>Claim.LitigationStatus</w:t>
      </w:r>
      <w:proofErr w:type="spellEnd"/>
      <w:r w:rsidR="004C1614">
        <w:t xml:space="preserve"> field</w:t>
      </w:r>
      <w:r>
        <w:t>.</w:t>
      </w:r>
    </w:p>
    <w:p w:rsidR="00023858" w:rsidRPr="004B041F" w:rsidRDefault="004B041F" w:rsidP="00023858">
      <w:pPr>
        <w:pStyle w:val="SectionHeader"/>
      </w:pPr>
      <w:r>
        <w:t>Test procedure</w:t>
      </w:r>
    </w:p>
    <w:p w:rsidR="00DC25A6" w:rsidRDefault="000D44C6" w:rsidP="00023858">
      <w:pPr>
        <w:pStyle w:val="MajorStep"/>
        <w:numPr>
          <w:ilvl w:val="0"/>
          <w:numId w:val="40"/>
        </w:numPr>
        <w:spacing w:before="120"/>
      </w:pPr>
      <w:r>
        <w:t>Open an existing claim that is not already in a financial hold situ</w:t>
      </w:r>
      <w:r w:rsidR="00A777B1">
        <w:t>ation (coverage not in question, claim not incident only) and has an existing claim</w:t>
      </w:r>
      <w:r w:rsidR="00C56714">
        <w:t xml:space="preserve"> </w:t>
      </w:r>
      <w:r w:rsidR="00A777B1">
        <w:t xml:space="preserve">cost reserve. </w:t>
      </w:r>
      <w:r w:rsidR="00831225" w:rsidRPr="00B34402">
        <w:rPr>
          <w:color w:val="auto"/>
        </w:rPr>
        <w:t xml:space="preserve">Claim </w:t>
      </w:r>
      <w:r w:rsidR="00A37BCE">
        <w:rPr>
          <w:b/>
          <w:color w:val="auto"/>
        </w:rPr>
        <w:t xml:space="preserve">235-53-365889 </w:t>
      </w:r>
      <w:r w:rsidR="00A37BCE">
        <w:rPr>
          <w:color w:val="auto"/>
        </w:rPr>
        <w:t>(Robert Farley)</w:t>
      </w:r>
      <w:r w:rsidR="006820B5" w:rsidRPr="00B34402">
        <w:rPr>
          <w:color w:val="auto"/>
        </w:rPr>
        <w:t xml:space="preserve"> </w:t>
      </w:r>
      <w:r w:rsidR="00831225" w:rsidRPr="00B34402">
        <w:rPr>
          <w:color w:val="auto"/>
        </w:rPr>
        <w:t>is such a claim</w:t>
      </w:r>
      <w:r w:rsidR="00B34402">
        <w:rPr>
          <w:color w:val="auto"/>
        </w:rPr>
        <w:t xml:space="preserve"> (a reserve may need to be created)</w:t>
      </w:r>
      <w:r w:rsidR="00A777B1" w:rsidRPr="00B34402">
        <w:rPr>
          <w:color w:val="auto"/>
        </w:rPr>
        <w:t>.</w:t>
      </w:r>
    </w:p>
    <w:p w:rsidR="00873AD1" w:rsidRDefault="00873AD1" w:rsidP="00023858">
      <w:pPr>
        <w:pStyle w:val="MajorStep"/>
        <w:numPr>
          <w:ilvl w:val="0"/>
          <w:numId w:val="40"/>
        </w:numPr>
        <w:spacing w:before="120"/>
      </w:pPr>
      <w:r>
        <w:t xml:space="preserve">Ensure that the claim and </w:t>
      </w:r>
      <w:r w:rsidR="00831225">
        <w:t xml:space="preserve">its </w:t>
      </w:r>
      <w:r>
        <w:t>exposures are at ability to pay.</w:t>
      </w:r>
    </w:p>
    <w:p w:rsidR="00A777B1" w:rsidRDefault="00A777B1" w:rsidP="00023858">
      <w:pPr>
        <w:pStyle w:val="MajorStep"/>
        <w:numPr>
          <w:ilvl w:val="0"/>
          <w:numId w:val="40"/>
        </w:numPr>
        <w:spacing w:before="120"/>
      </w:pPr>
      <w:r>
        <w:t xml:space="preserve">Go to </w:t>
      </w:r>
      <w:r w:rsidRPr="006820B5">
        <w:rPr>
          <w:b/>
        </w:rPr>
        <w:t>Summary</w:t>
      </w:r>
      <w:r w:rsidRPr="006820B5">
        <w:rPr>
          <w:b/>
        </w:rPr>
        <w:sym w:font="Wingdings" w:char="F0E0"/>
      </w:r>
      <w:r w:rsidRPr="006820B5">
        <w:rPr>
          <w:b/>
        </w:rPr>
        <w:t>Claim Status</w:t>
      </w:r>
      <w:r>
        <w:t>.</w:t>
      </w:r>
    </w:p>
    <w:p w:rsidR="00A777B1" w:rsidRDefault="00A777B1" w:rsidP="00A777B1">
      <w:pPr>
        <w:pStyle w:val="Substep"/>
        <w:numPr>
          <w:ilvl w:val="1"/>
          <w:numId w:val="40"/>
        </w:numPr>
      </w:pPr>
      <w:r>
        <w:t xml:space="preserve">Click </w:t>
      </w:r>
      <w:r w:rsidRPr="006820B5">
        <w:rPr>
          <w:b/>
        </w:rPr>
        <w:t>Edit</w:t>
      </w:r>
      <w:r>
        <w:t>.</w:t>
      </w:r>
    </w:p>
    <w:p w:rsidR="00A777B1" w:rsidRDefault="00A777B1" w:rsidP="00A777B1">
      <w:pPr>
        <w:pStyle w:val="Substep"/>
        <w:numPr>
          <w:ilvl w:val="1"/>
          <w:numId w:val="40"/>
        </w:numPr>
      </w:pPr>
      <w:r>
        <w:t xml:space="preserve">Change </w:t>
      </w:r>
      <w:r w:rsidRPr="006820B5">
        <w:rPr>
          <w:b/>
        </w:rPr>
        <w:t>Litigation Status</w:t>
      </w:r>
      <w:r>
        <w:t xml:space="preserve"> to </w:t>
      </w:r>
      <w:proofErr w:type="gramStart"/>
      <w:r w:rsidRPr="00A777B1">
        <w:rPr>
          <w:i/>
        </w:rPr>
        <w:t>In</w:t>
      </w:r>
      <w:proofErr w:type="gramEnd"/>
      <w:r w:rsidRPr="00A777B1">
        <w:rPr>
          <w:i/>
        </w:rPr>
        <w:t xml:space="preserve"> litigation</w:t>
      </w:r>
      <w:r w:rsidR="00FF2092">
        <w:t xml:space="preserve"> and </w:t>
      </w:r>
      <w:r w:rsidR="00FF2092">
        <w:rPr>
          <w:b/>
        </w:rPr>
        <w:t xml:space="preserve">Coverage in Question to </w:t>
      </w:r>
      <w:r w:rsidR="00FF2092" w:rsidRPr="00FF2092">
        <w:rPr>
          <w:i/>
        </w:rPr>
        <w:t>No</w:t>
      </w:r>
      <w:r w:rsidR="00FF2092">
        <w:rPr>
          <w:i/>
        </w:rPr>
        <w:t>.</w:t>
      </w:r>
    </w:p>
    <w:p w:rsidR="00A777B1" w:rsidRDefault="00A777B1" w:rsidP="00A777B1">
      <w:pPr>
        <w:pStyle w:val="Substep"/>
        <w:numPr>
          <w:ilvl w:val="1"/>
          <w:numId w:val="40"/>
        </w:numPr>
      </w:pPr>
      <w:r>
        <w:t xml:space="preserve">Click </w:t>
      </w:r>
      <w:r w:rsidRPr="006820B5">
        <w:rPr>
          <w:b/>
        </w:rPr>
        <w:t>Update</w:t>
      </w:r>
      <w:r>
        <w:t>.</w:t>
      </w:r>
    </w:p>
    <w:p w:rsidR="00A777B1" w:rsidRDefault="00A777B1" w:rsidP="00023858">
      <w:pPr>
        <w:pStyle w:val="MajorStep"/>
        <w:numPr>
          <w:ilvl w:val="0"/>
          <w:numId w:val="40"/>
        </w:numPr>
        <w:spacing w:before="120"/>
      </w:pPr>
      <w:r>
        <w:t>Go to Financials screen.</w:t>
      </w:r>
    </w:p>
    <w:p w:rsidR="00A777B1" w:rsidRDefault="00A777B1" w:rsidP="00A777B1">
      <w:pPr>
        <w:pStyle w:val="Substep"/>
        <w:numPr>
          <w:ilvl w:val="1"/>
          <w:numId w:val="40"/>
        </w:numPr>
      </w:pPr>
      <w:r>
        <w:t xml:space="preserve">Click on the </w:t>
      </w:r>
      <w:r w:rsidR="00224A6A">
        <w:rPr>
          <w:b/>
        </w:rPr>
        <w:t xml:space="preserve">Claim Cost </w:t>
      </w:r>
      <w:r w:rsidRPr="006820B5">
        <w:rPr>
          <w:b/>
        </w:rPr>
        <w:t>reserve</w:t>
      </w:r>
      <w:r>
        <w:t xml:space="preserve"> and select </w:t>
      </w:r>
      <w:r w:rsidRPr="006820B5">
        <w:rPr>
          <w:i/>
        </w:rPr>
        <w:t>Create check</w:t>
      </w:r>
      <w:r>
        <w:t>.</w:t>
      </w:r>
    </w:p>
    <w:p w:rsidR="000C13D8" w:rsidRPr="004B041F" w:rsidRDefault="00A777B1" w:rsidP="00873AD1">
      <w:pPr>
        <w:pStyle w:val="Substep"/>
        <w:numPr>
          <w:ilvl w:val="1"/>
          <w:numId w:val="40"/>
        </w:numPr>
      </w:pPr>
      <w:r>
        <w:t xml:space="preserve">Create the check in the payment wizard, entering an amount in step 2, </w:t>
      </w:r>
      <w:r w:rsidR="00831225">
        <w:t>and</w:t>
      </w:r>
      <w:r>
        <w:t xml:space="preserve"> click</w:t>
      </w:r>
      <w:r w:rsidR="00831225">
        <w:t>ing</w:t>
      </w:r>
      <w:r>
        <w:t xml:space="preserve"> </w:t>
      </w:r>
      <w:r w:rsidRPr="00831225">
        <w:rPr>
          <w:b/>
        </w:rPr>
        <w:t>Finish</w:t>
      </w:r>
      <w:r>
        <w:t xml:space="preserve"> in step 3.</w:t>
      </w:r>
    </w:p>
    <w:p w:rsidR="00DC25A6" w:rsidRPr="004B041F" w:rsidRDefault="00831225" w:rsidP="00023858">
      <w:pPr>
        <w:pStyle w:val="Substep"/>
      </w:pPr>
      <w:r>
        <w:t xml:space="preserve">Your </w:t>
      </w:r>
      <w:r w:rsidR="00846EFB">
        <w:t xml:space="preserve">error message </w:t>
      </w:r>
      <w:r>
        <w:t>should appear</w:t>
      </w:r>
      <w:r w:rsidR="00873AD1">
        <w:t xml:space="preserve">, and the check </w:t>
      </w:r>
      <w:r>
        <w:t>creation process should not go to completion</w:t>
      </w:r>
      <w:r w:rsidR="00A10C29">
        <w:br/>
      </w:r>
    </w:p>
    <w:sectPr w:rsidR="00DC25A6" w:rsidRPr="004B041F" w:rsidSect="001A601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F38" w:rsidRDefault="00A06F38" w:rsidP="00633125">
      <w:r>
        <w:separator/>
      </w:r>
    </w:p>
  </w:endnote>
  <w:endnote w:type="continuationSeparator" w:id="0">
    <w:p w:rsidR="00A06F38" w:rsidRDefault="00A06F38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A10C29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A10C29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D656D5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D656D5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F38" w:rsidRDefault="00A06F38" w:rsidP="00633125">
      <w:r>
        <w:separator/>
      </w:r>
    </w:p>
  </w:footnote>
  <w:footnote w:type="continuationSeparator" w:id="0">
    <w:p w:rsidR="00A06F38" w:rsidRDefault="00A06F38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  <w:t>Lab Title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2E2B92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  <w:lang w:bidi="ar-SA"/>
      </w:rPr>
      <w:drawing>
        <wp:inline distT="0" distB="0" distL="0" distR="0">
          <wp:extent cx="1428750" cy="438150"/>
          <wp:effectExtent l="0" t="0" r="0" b="0"/>
          <wp:docPr id="1" name="Picture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3in;height:3in" o:bullet="t"/>
    </w:pict>
  </w:numPicBullet>
  <w:numPicBullet w:numPicBulletId="1">
    <w:pict>
      <v:shape id="_x0000_i1065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D421BA1"/>
    <w:multiLevelType w:val="multilevel"/>
    <w:tmpl w:val="1B88AE44"/>
    <w:numStyleLink w:val="SpecArial10ptBold"/>
  </w:abstractNum>
  <w:abstractNum w:abstractNumId="42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9"/>
  </w:num>
  <w:num w:numId="5">
    <w:abstractNumId w:val="38"/>
  </w:num>
  <w:num w:numId="6">
    <w:abstractNumId w:val="33"/>
  </w:num>
  <w:num w:numId="7">
    <w:abstractNumId w:val="9"/>
  </w:num>
  <w:num w:numId="8">
    <w:abstractNumId w:val="24"/>
  </w:num>
  <w:num w:numId="9">
    <w:abstractNumId w:val="26"/>
  </w:num>
  <w:num w:numId="10">
    <w:abstractNumId w:val="15"/>
  </w:num>
  <w:num w:numId="11">
    <w:abstractNumId w:val="13"/>
  </w:num>
  <w:num w:numId="12">
    <w:abstractNumId w:val="16"/>
  </w:num>
  <w:num w:numId="13">
    <w:abstractNumId w:val="27"/>
  </w:num>
  <w:num w:numId="14">
    <w:abstractNumId w:val="18"/>
  </w:num>
  <w:num w:numId="15">
    <w:abstractNumId w:val="31"/>
  </w:num>
  <w:num w:numId="16">
    <w:abstractNumId w:val="5"/>
  </w:num>
  <w:num w:numId="17">
    <w:abstractNumId w:val="30"/>
  </w:num>
  <w:num w:numId="18">
    <w:abstractNumId w:val="14"/>
  </w:num>
  <w:num w:numId="19">
    <w:abstractNumId w:val="36"/>
  </w:num>
  <w:num w:numId="20">
    <w:abstractNumId w:val="23"/>
  </w:num>
  <w:num w:numId="21">
    <w:abstractNumId w:val="12"/>
  </w:num>
  <w:num w:numId="22">
    <w:abstractNumId w:val="3"/>
  </w:num>
  <w:num w:numId="23">
    <w:abstractNumId w:val="11"/>
  </w:num>
  <w:num w:numId="24">
    <w:abstractNumId w:val="37"/>
  </w:num>
  <w:num w:numId="25">
    <w:abstractNumId w:val="10"/>
  </w:num>
  <w:num w:numId="26">
    <w:abstractNumId w:val="22"/>
  </w:num>
  <w:num w:numId="27">
    <w:abstractNumId w:val="21"/>
  </w:num>
  <w:num w:numId="28">
    <w:abstractNumId w:val="32"/>
  </w:num>
  <w:num w:numId="29">
    <w:abstractNumId w:val="20"/>
  </w:num>
  <w:num w:numId="30">
    <w:abstractNumId w:val="28"/>
  </w:num>
  <w:num w:numId="31">
    <w:abstractNumId w:val="29"/>
  </w:num>
  <w:num w:numId="32">
    <w:abstractNumId w:val="34"/>
  </w:num>
  <w:num w:numId="33">
    <w:abstractNumId w:val="25"/>
  </w:num>
  <w:num w:numId="34">
    <w:abstractNumId w:val="41"/>
  </w:num>
  <w:num w:numId="35">
    <w:abstractNumId w:val="17"/>
  </w:num>
  <w:num w:numId="36">
    <w:abstractNumId w:val="42"/>
  </w:num>
  <w:num w:numId="37">
    <w:abstractNumId w:val="3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0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D4"/>
    <w:rsid w:val="00023858"/>
    <w:rsid w:val="00025105"/>
    <w:rsid w:val="00034E98"/>
    <w:rsid w:val="00055958"/>
    <w:rsid w:val="0007538A"/>
    <w:rsid w:val="00081F37"/>
    <w:rsid w:val="000B1FEA"/>
    <w:rsid w:val="000C13D8"/>
    <w:rsid w:val="000C19B0"/>
    <w:rsid w:val="000D44C6"/>
    <w:rsid w:val="0011588E"/>
    <w:rsid w:val="001748D6"/>
    <w:rsid w:val="00177FE1"/>
    <w:rsid w:val="0018531F"/>
    <w:rsid w:val="001A6014"/>
    <w:rsid w:val="001C7470"/>
    <w:rsid w:val="001E7590"/>
    <w:rsid w:val="00206C27"/>
    <w:rsid w:val="00224A6A"/>
    <w:rsid w:val="00225725"/>
    <w:rsid w:val="00232962"/>
    <w:rsid w:val="00232DCE"/>
    <w:rsid w:val="0024515C"/>
    <w:rsid w:val="002479CA"/>
    <w:rsid w:val="00261E1E"/>
    <w:rsid w:val="002708F0"/>
    <w:rsid w:val="002857D7"/>
    <w:rsid w:val="002860C3"/>
    <w:rsid w:val="002D4527"/>
    <w:rsid w:val="002D64FE"/>
    <w:rsid w:val="002E2B92"/>
    <w:rsid w:val="0031083C"/>
    <w:rsid w:val="003113B4"/>
    <w:rsid w:val="00311FD2"/>
    <w:rsid w:val="00331C29"/>
    <w:rsid w:val="00341967"/>
    <w:rsid w:val="00342DCF"/>
    <w:rsid w:val="003655AF"/>
    <w:rsid w:val="0036692F"/>
    <w:rsid w:val="003706AA"/>
    <w:rsid w:val="00377E3E"/>
    <w:rsid w:val="003B01FF"/>
    <w:rsid w:val="003B55E5"/>
    <w:rsid w:val="003E4639"/>
    <w:rsid w:val="003E70A0"/>
    <w:rsid w:val="0043160E"/>
    <w:rsid w:val="00435326"/>
    <w:rsid w:val="00456DC9"/>
    <w:rsid w:val="00474EA4"/>
    <w:rsid w:val="00483D41"/>
    <w:rsid w:val="004B041F"/>
    <w:rsid w:val="004B20F3"/>
    <w:rsid w:val="004C1614"/>
    <w:rsid w:val="004C5390"/>
    <w:rsid w:val="004D21AB"/>
    <w:rsid w:val="004E305E"/>
    <w:rsid w:val="004F7EA1"/>
    <w:rsid w:val="00537D78"/>
    <w:rsid w:val="00551DB9"/>
    <w:rsid w:val="00560DE5"/>
    <w:rsid w:val="00561C39"/>
    <w:rsid w:val="005676A7"/>
    <w:rsid w:val="005B1860"/>
    <w:rsid w:val="005D6746"/>
    <w:rsid w:val="005E6FA3"/>
    <w:rsid w:val="005F6EB9"/>
    <w:rsid w:val="00615B46"/>
    <w:rsid w:val="00620472"/>
    <w:rsid w:val="006219A8"/>
    <w:rsid w:val="00622B2A"/>
    <w:rsid w:val="00633125"/>
    <w:rsid w:val="006469BD"/>
    <w:rsid w:val="00654971"/>
    <w:rsid w:val="00664655"/>
    <w:rsid w:val="006820B5"/>
    <w:rsid w:val="006C24D8"/>
    <w:rsid w:val="006C59A7"/>
    <w:rsid w:val="00700F1F"/>
    <w:rsid w:val="0071412D"/>
    <w:rsid w:val="00724942"/>
    <w:rsid w:val="00764147"/>
    <w:rsid w:val="0078633B"/>
    <w:rsid w:val="00797D75"/>
    <w:rsid w:val="007A644E"/>
    <w:rsid w:val="007E1CDD"/>
    <w:rsid w:val="008165F0"/>
    <w:rsid w:val="00831225"/>
    <w:rsid w:val="008435AA"/>
    <w:rsid w:val="00846EFB"/>
    <w:rsid w:val="00850A5E"/>
    <w:rsid w:val="00853707"/>
    <w:rsid w:val="00873AD1"/>
    <w:rsid w:val="008B4BAE"/>
    <w:rsid w:val="008B5211"/>
    <w:rsid w:val="008D4EAC"/>
    <w:rsid w:val="008D69B5"/>
    <w:rsid w:val="008F03D3"/>
    <w:rsid w:val="00922732"/>
    <w:rsid w:val="009604ED"/>
    <w:rsid w:val="00962A51"/>
    <w:rsid w:val="00993853"/>
    <w:rsid w:val="0099522D"/>
    <w:rsid w:val="009C3BEE"/>
    <w:rsid w:val="009C42BE"/>
    <w:rsid w:val="009C4A9F"/>
    <w:rsid w:val="009D5EE9"/>
    <w:rsid w:val="009F2AFB"/>
    <w:rsid w:val="00A06F38"/>
    <w:rsid w:val="00A10C29"/>
    <w:rsid w:val="00A24A3C"/>
    <w:rsid w:val="00A37265"/>
    <w:rsid w:val="00A37BCE"/>
    <w:rsid w:val="00A43598"/>
    <w:rsid w:val="00A5346F"/>
    <w:rsid w:val="00A777B1"/>
    <w:rsid w:val="00A86E8C"/>
    <w:rsid w:val="00A91FDE"/>
    <w:rsid w:val="00A969B2"/>
    <w:rsid w:val="00AB77C9"/>
    <w:rsid w:val="00AC0C87"/>
    <w:rsid w:val="00AC6523"/>
    <w:rsid w:val="00B158F2"/>
    <w:rsid w:val="00B34402"/>
    <w:rsid w:val="00B41237"/>
    <w:rsid w:val="00B4326B"/>
    <w:rsid w:val="00B53D5B"/>
    <w:rsid w:val="00B568C2"/>
    <w:rsid w:val="00B62E41"/>
    <w:rsid w:val="00B80D13"/>
    <w:rsid w:val="00B93CF7"/>
    <w:rsid w:val="00BB5E79"/>
    <w:rsid w:val="00BC25F4"/>
    <w:rsid w:val="00BC34D7"/>
    <w:rsid w:val="00BC4845"/>
    <w:rsid w:val="00BD4C37"/>
    <w:rsid w:val="00BE4055"/>
    <w:rsid w:val="00BE6BE6"/>
    <w:rsid w:val="00C056A3"/>
    <w:rsid w:val="00C342B9"/>
    <w:rsid w:val="00C379F7"/>
    <w:rsid w:val="00C56714"/>
    <w:rsid w:val="00C63BCD"/>
    <w:rsid w:val="00C70A23"/>
    <w:rsid w:val="00C76808"/>
    <w:rsid w:val="00C7701B"/>
    <w:rsid w:val="00C81647"/>
    <w:rsid w:val="00CB6DDB"/>
    <w:rsid w:val="00CB7030"/>
    <w:rsid w:val="00CE1FBC"/>
    <w:rsid w:val="00CE5417"/>
    <w:rsid w:val="00D1170A"/>
    <w:rsid w:val="00D15104"/>
    <w:rsid w:val="00D468FC"/>
    <w:rsid w:val="00D656D5"/>
    <w:rsid w:val="00D823E1"/>
    <w:rsid w:val="00D85DAC"/>
    <w:rsid w:val="00D93ED4"/>
    <w:rsid w:val="00DC25A6"/>
    <w:rsid w:val="00DF3C35"/>
    <w:rsid w:val="00DF5931"/>
    <w:rsid w:val="00E34EDF"/>
    <w:rsid w:val="00E871C7"/>
    <w:rsid w:val="00ED6413"/>
    <w:rsid w:val="00F052BB"/>
    <w:rsid w:val="00F053D0"/>
    <w:rsid w:val="00F23DF9"/>
    <w:rsid w:val="00F608F7"/>
    <w:rsid w:val="00F87186"/>
    <w:rsid w:val="00F90350"/>
    <w:rsid w:val="00FB183B"/>
    <w:rsid w:val="00FB65CA"/>
    <w:rsid w:val="00FE3F19"/>
    <w:rsid w:val="00FF2092"/>
    <w:rsid w:val="00FF670A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6C59A7"/>
    <w:pPr>
      <w:spacing w:before="600" w:after="400"/>
      <w:ind w:left="2520" w:hanging="2520"/>
    </w:pPr>
    <w:rPr>
      <w:rFonts w:ascii="Arial" w:hAnsi="Arial" w:cs="Arial"/>
      <w:b/>
      <w:color w:val="003366"/>
      <w:sz w:val="40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6C59A7"/>
    <w:rPr>
      <w:rFonts w:ascii="Arial" w:hAnsi="Arial" w:cs="Arial"/>
      <w:b/>
      <w:color w:val="003366"/>
      <w:sz w:val="40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C567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6714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6C59A7"/>
    <w:pPr>
      <w:spacing w:before="600" w:after="400"/>
      <w:ind w:left="2520" w:hanging="2520"/>
    </w:pPr>
    <w:rPr>
      <w:rFonts w:ascii="Arial" w:hAnsi="Arial" w:cs="Arial"/>
      <w:b/>
      <w:color w:val="003366"/>
      <w:sz w:val="40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6C59A7"/>
    <w:rPr>
      <w:rFonts w:ascii="Arial" w:hAnsi="Arial" w:cs="Arial"/>
      <w:b/>
      <w:color w:val="003366"/>
      <w:sz w:val="40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C567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6714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pot\currdev\internal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Guidewire Software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dherman;Tom Rhoades</dc:creator>
  <dc:description>3640L</dc:description>
  <cp:lastModifiedBy>Tom Rhoades</cp:lastModifiedBy>
  <cp:revision>4</cp:revision>
  <cp:lastPrinted>2010-02-22T20:16:00Z</cp:lastPrinted>
  <dcterms:created xsi:type="dcterms:W3CDTF">2013-11-06T17:43:00Z</dcterms:created>
  <dcterms:modified xsi:type="dcterms:W3CDTF">2013-11-22T17:53:00Z</dcterms:modified>
</cp:coreProperties>
</file>