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A1E"/>
          <w:sz w:val="17"/>
          <w:szCs w:val="17"/>
        </w:rPr>
        <w:t xml:space="preserve">C-DiIT · IIM KOZHIKODE · EXECUTIVE BOARD BRIEFING</w:t>
      </w:r>
    </w:p>
    <w:p>
      <w:pPr>
        <w:spacing w:after="60"/>
      </w:pPr>
      <w:r>
        <w:rPr>
          <w:rFonts w:ascii="Cambria" w:cs="Cambria" w:eastAsia="Cambria" w:hAnsi="Cambria"/>
          <w:b/>
          <w:bCs/>
          <w:color w:val="1E2761"/>
          <w:sz w:val="40"/>
          <w:szCs w:val="40"/>
        </w:rPr>
        <w:t xml:space="preserve">The AI Risk Stack</w:t>
      </w:r>
    </w:p>
    <w:p>
      <w:pPr>
        <w:spacing w:after="120"/>
      </w:pPr>
      <w:r>
        <w:rPr>
          <w:rFonts w:ascii="Cambria" w:cs="Cambria" w:eastAsia="Cambria" w:hAnsi="Cambria"/>
          <w:i/>
          <w:iCs/>
          <w:color w:val="16203D"/>
          <w:sz w:val="24"/>
          <w:szCs w:val="24"/>
        </w:rPr>
        <w:t xml:space="preserve">Translating DPDP, CERT-In and RBI mandates into board-level cyber governance</w:t>
      </w:r>
    </w:p>
    <w:p>
      <w:pPr>
        <w:spacing w:after="60" w:line="276"/>
      </w:pPr>
      <w:r>
        <w:rPr>
          <w:rFonts w:ascii="Calibri" w:cs="Calibri" w:eastAsia="Calibri" w:hAnsi="Calibri"/>
          <w:b/>
          <w:bCs/>
          <w:color w:val="5A6684"/>
          <w:sz w:val="19"/>
          <w:szCs w:val="19"/>
        </w:rPr>
        <w:t xml:space="preserve">Speaker: </w:t>
      </w:r>
      <w:r>
        <w:rPr>
          <w:rFonts w:ascii="Calibri" w:cs="Calibri" w:eastAsia="Calibri" w:hAnsi="Calibri"/>
          <w:color w:val="5A6684"/>
          <w:sz w:val="19"/>
          <w:szCs w:val="19"/>
        </w:rPr>
        <w:t xml:space="preserve">Vivek Vaidyanathan — Head of Agnishodh, Indian Army's Research &amp; Innovation Cell    </w:t>
      </w:r>
      <w:r>
        <w:rPr>
          <w:rFonts w:ascii="Calibri" w:cs="Calibri" w:eastAsia="Calibri" w:hAnsi="Calibri"/>
          <w:b/>
          <w:bCs/>
          <w:color w:val="5A6684"/>
          <w:sz w:val="19"/>
          <w:szCs w:val="19"/>
        </w:rPr>
        <w:t xml:space="preserve">| Webinar: </w:t>
      </w:r>
      <w:r>
        <w:rPr>
          <w:rFonts w:ascii="Calibri" w:cs="Calibri" w:eastAsia="Calibri" w:hAnsi="Calibri"/>
          <w:color w:val="5A6684"/>
          <w:sz w:val="19"/>
          <w:szCs w:val="19"/>
        </w:rPr>
        <w:t xml:space="preserve">30 July 2026, 3:00 PM IST</w:t>
      </w:r>
    </w:p>
    <w:p>
      <w:pPr>
        <w:pBdr>
          <w:bottom w:val="single" w:color="D6DEEB" w:sz="6"/>
        </w:pBdr>
        <w:spacing w:after="120" w:before="60"/>
      </w:pPr>
      <w:r>
        <w:rPr>
          <w:sz w:val="2"/>
          <w:szCs w:val="2"/>
        </w:rPr>
        <w:t xml:space="preserve"/>
      </w:r>
    </w:p>
    <w:p>
      <w:pPr>
        <w:pStyle w:val="Heading1"/>
        <w:spacing w:after="120" w:before="240"/>
      </w:pPr>
      <w:r>
        <w:rPr>
          <w:rFonts w:ascii="Cambria" w:cs="Cambria" w:eastAsia="Cambria" w:hAnsi="Cambria"/>
          <w:b/>
          <w:bCs/>
          <w:color w:val="1E2761"/>
          <w:sz w:val="28"/>
          <w:szCs w:val="28"/>
        </w:rPr>
        <w:t xml:space="preserve">Executive summary</w:t>
      </w:r>
    </w:p>
    <w:p>
      <w:pPr>
        <w:spacing w:after="120" w:line="276"/>
      </w:pPr>
      <w:r>
        <w:rPr>
          <w:rFonts w:ascii="Calibri" w:cs="Calibri" w:eastAsia="Calibri" w:hAnsi="Calibri"/>
          <w:color w:val="222222"/>
          <w:sz w:val="21"/>
          <w:szCs w:val="21"/>
        </w:rPr>
        <w:t xml:space="preserve">Indian financial institutions now deploy AI systems — credit scoring, algorithmic trading, fraud detection, KYC, customer-facing chatbots — that fall simultaneously under three sets of mandates: the DPDP Act 2023 (data protection), CERT-In's Directions (cyber-incident response), and the Reserve Bank of India's FREE-AI framework and IT-risk regime (prudential and operational resilience). SEBI's 2025 Cybersecurity Framework adds a fourth layer for capital-markets participants. These instruments do not reference one another.</w:t>
      </w:r>
    </w:p>
    <w:p>
      <w:pPr>
        <w:spacing w:after="120" w:line="276"/>
      </w:pPr>
      <w:r>
        <w:rPr>
          <w:rFonts w:ascii="Calibri" w:cs="Calibri" w:eastAsia="Calibri" w:hAnsi="Calibri"/>
          <w:color w:val="222222"/>
          <w:sz w:val="21"/>
          <w:szCs w:val="21"/>
        </w:rPr>
        <w:t xml:space="preserve">The board's exposure is not any single rule. It is the un-coordinated sum of all of them. This briefing gives the board a single mental model — the AI Risk Stack — and a diagnosis grounded in primary-source regulatory analysis: functionally equivalent mandates issued in parallel (Regulatory Parallelism) transfer a duplicated compliance burden onto the enterprise (Governance Debt). The recommended response is not more compliance activity, but a single integrated board-level cyber-AI risk mandate.</w:t>
      </w:r>
    </w:p>
    <w:tbl>
      <w:tblPr>
        <w:tblW w:type="dxa" w:w="10080"/>
        <w:tblBorders>
          <w:top w:val="single" w:color="D6DEEB" w:sz="2"/>
          <w:left w:val="single" w:color="D6DEEB" w:sz="2"/>
          <w:bottom w:val="single" w:color="D6DEEB" w:sz="2"/>
          <w:right w:val="single" w:color="D6DEEB" w:sz="2"/>
          <w:insideH w:val="single" w:color="auto" w:sz="4"/>
          <w:insideV w:val="single" w:color="auto" w:sz="4"/>
        </w:tblBorders>
      </w:tblPr>
      <w:tblGrid>
        <w:gridCol w:w="10080"/>
      </w:tblGrid>
      <w:tr>
        <w:tc>
          <w:tcPr>
            <w:shd w:fill="1E2761" w:color="auto" w:val="clear"/>
            <w:tcMar>
              <w:top w:type="dxa" w:w="120"/>
              <w:left w:type="dxa" w:w="160"/>
              <w:bottom w:type="dxa" w:w="120"/>
              <w:right w:type="dxa" w:w="160"/>
            </w:tcMar>
          </w:tcPr>
          <w:p>
            <w:pPr>
              <w:spacing w:after="60"/>
            </w:pPr>
            <w:r>
              <w:rPr>
                <w:rFonts w:ascii="Calibri" w:cs="Calibri" w:eastAsia="Calibri" w:hAnsi="Calibri"/>
                <w:b/>
                <w:bCs/>
                <w:color w:val="E8A33D"/>
                <w:sz w:val="18"/>
                <w:szCs w:val="18"/>
              </w:rPr>
              <w:t xml:space="preserve">THE ONE-LINE TAKEAWAY</w:t>
            </w:r>
          </w:p>
          <w:p>
            <w:r>
              <w:rPr>
                <w:rFonts w:ascii="Calibri" w:cs="Calibri" w:eastAsia="Calibri" w:hAnsi="Calibri"/>
                <w:color w:val="FFFFFF"/>
                <w:sz w:val="22"/>
                <w:szCs w:val="22"/>
              </w:rPr>
              <w:t xml:space="preserve">The regulators did not coordinate. The board must. The job is to collapse three parallel reviews into one integrated cyber-AI risk mandate — one committee, one narrative, one evidence base.</w:t>
            </w:r>
          </w:p>
        </w:tc>
      </w:tr>
    </w:tbl>
    <w:p>
      <w:pPr>
        <w:spacing w:after="60" w:line="276"/>
      </w:pPr>
      <w:r>
        <w:rPr>
          <w:rFonts w:ascii="Calibri" w:cs="Calibri" w:eastAsia="Calibri" w:hAnsi="Calibri"/>
          <w:color w:val="222222"/>
          <w:sz w:val="21"/>
          <w:szCs w:val="21"/>
        </w:rPr>
        <w:t xml:space="preserve"/>
      </w:r>
    </w:p>
    <w:p>
      <w:pPr>
        <w:pStyle w:val="Heading1"/>
        <w:spacing w:after="120" w:before="240"/>
      </w:pPr>
      <w:r>
        <w:rPr>
          <w:rFonts w:ascii="Cambria" w:cs="Cambria" w:eastAsia="Cambria" w:hAnsi="Cambria"/>
          <w:b/>
          <w:bCs/>
          <w:color w:val="1E2761"/>
          <w:sz w:val="28"/>
          <w:szCs w:val="28"/>
        </w:rPr>
        <w:t xml:space="preserve">1.  The problem: one AI system, three regulators, zero cross-reference</w:t>
      </w:r>
    </w:p>
    <w:p>
      <w:pPr>
        <w:spacing w:after="120" w:line="276"/>
      </w:pPr>
      <w:r>
        <w:rPr>
          <w:rFonts w:ascii="Calibri" w:cs="Calibri" w:eastAsia="Calibri" w:hAnsi="Calibri"/>
          <w:color w:val="222222"/>
          <w:sz w:val="21"/>
          <w:szCs w:val="21"/>
        </w:rPr>
        <w:t xml:space="preserve">A single AI model inside a regulated institution triggers obligations from multiple authorities that were designed independently and enforced separately. The governance question is therefore not technical (is the model secure?) but institutional: how are authority and accountability allocated when overlapping regulators govern the same system without coordinating?</w:t>
      </w:r>
    </w:p>
    <w:p>
      <w:pPr>
        <w:pStyle w:val="ListParagraph"/>
        <w:numPr>
          <w:ilvl w:val="0"/>
          <w:numId w:val="1"/>
        </w:numPr>
        <w:spacing w:after="70" w:line="270"/>
      </w:pPr>
      <w:r>
        <w:rPr>
          <w:rFonts w:ascii="Calibri" w:cs="Calibri" w:eastAsia="Calibri" w:hAnsi="Calibri"/>
          <w:b/>
          <w:bCs/>
          <w:color w:val="1E2761"/>
          <w:sz w:val="21"/>
          <w:szCs w:val="21"/>
        </w:rPr>
        <w:t xml:space="preserve">DPDP Act 2023 — </w:t>
      </w:r>
      <w:r>
        <w:rPr>
          <w:rFonts w:ascii="Calibri" w:cs="Calibri" w:eastAsia="Calibri" w:hAnsi="Calibri"/>
          <w:color w:val="222222"/>
          <w:sz w:val="21"/>
          <w:szCs w:val="21"/>
        </w:rPr>
        <w:t xml:space="preserve">data protection: lawful processing, consent, DPIA, breach notification (MeitY / Data Protection Board).</w:t>
      </w:r>
    </w:p>
    <w:p>
      <w:pPr>
        <w:pStyle w:val="ListParagraph"/>
        <w:numPr>
          <w:ilvl w:val="0"/>
          <w:numId w:val="1"/>
        </w:numPr>
        <w:spacing w:after="70" w:line="270"/>
      </w:pPr>
      <w:r>
        <w:rPr>
          <w:rFonts w:ascii="Calibri" w:cs="Calibri" w:eastAsia="Calibri" w:hAnsi="Calibri"/>
          <w:b/>
          <w:bCs/>
          <w:color w:val="1E2761"/>
          <w:sz w:val="21"/>
          <w:szCs w:val="21"/>
        </w:rPr>
        <w:t xml:space="preserve">CERT-In Directions 2022 — </w:t>
      </w:r>
      <w:r>
        <w:rPr>
          <w:rFonts w:ascii="Calibri" w:cs="Calibri" w:eastAsia="Calibri" w:hAnsi="Calibri"/>
          <w:color w:val="222222"/>
          <w:sz w:val="21"/>
          <w:szCs w:val="21"/>
        </w:rPr>
        <w:t xml:space="preserve">cyber-incident reporting within a six-hour window; covers AI-system failures with a cyber dimension.</w:t>
      </w:r>
    </w:p>
    <w:p>
      <w:pPr>
        <w:pStyle w:val="ListParagraph"/>
        <w:numPr>
          <w:ilvl w:val="0"/>
          <w:numId w:val="1"/>
        </w:numPr>
        <w:spacing w:after="70" w:line="270"/>
      </w:pPr>
      <w:r>
        <w:rPr>
          <w:rFonts w:ascii="Calibri" w:cs="Calibri" w:eastAsia="Calibri" w:hAnsi="Calibri"/>
          <w:b/>
          <w:bCs/>
          <w:color w:val="1E2761"/>
          <w:sz w:val="21"/>
          <w:szCs w:val="21"/>
        </w:rPr>
        <w:t xml:space="preserve">RBI FREE-AI + IT-risk / outsourcing — </w:t>
      </w:r>
      <w:r>
        <w:rPr>
          <w:rFonts w:ascii="Calibri" w:cs="Calibri" w:eastAsia="Calibri" w:hAnsi="Calibri"/>
          <w:color w:val="222222"/>
          <w:sz w:val="21"/>
          <w:szCs w:val="21"/>
        </w:rPr>
        <w:t xml:space="preserve">model risk, third-party AI governance, operational resilience, board oversight.</w:t>
      </w:r>
    </w:p>
    <w:p>
      <w:pPr>
        <w:pStyle w:val="ListParagraph"/>
        <w:numPr>
          <w:ilvl w:val="0"/>
          <w:numId w:val="1"/>
        </w:numPr>
        <w:spacing w:after="70" w:line="270"/>
      </w:pPr>
      <w:r>
        <w:rPr>
          <w:rFonts w:ascii="Calibri" w:cs="Calibri" w:eastAsia="Calibri" w:hAnsi="Calibri"/>
          <w:b/>
          <w:bCs/>
          <w:color w:val="1E2761"/>
          <w:sz w:val="21"/>
          <w:szCs w:val="21"/>
        </w:rPr>
        <w:t xml:space="preserve">SEBI Cybersecurity Framework 2025 — </w:t>
      </w:r>
      <w:r>
        <w:rPr>
          <w:rFonts w:ascii="Calibri" w:cs="Calibri" w:eastAsia="Calibri" w:hAnsi="Calibri"/>
          <w:color w:val="222222"/>
          <w:sz w:val="21"/>
          <w:szCs w:val="21"/>
        </w:rPr>
        <w:t xml:space="preserve">24/7 SOC, Zero-Trust, quarterly board cyber review; reaches algorithmic-trading systems.</w:t>
      </w:r>
    </w:p>
    <w:p>
      <w:pPr>
        <w:pStyle w:val="Heading1"/>
        <w:spacing w:after="120" w:before="240"/>
      </w:pPr>
      <w:r>
        <w:rPr>
          <w:rFonts w:ascii="Cambria" w:cs="Cambria" w:eastAsia="Cambria" w:hAnsi="Cambria"/>
          <w:b/>
          <w:bCs/>
          <w:color w:val="1E2761"/>
          <w:sz w:val="28"/>
          <w:szCs w:val="28"/>
        </w:rPr>
        <w:t xml:space="preserve">2.  The AI Risk Stack</w:t>
      </w:r>
    </w:p>
    <w:p>
      <w:pPr>
        <w:spacing w:after="120" w:line="276"/>
      </w:pPr>
      <w:r>
        <w:rPr>
          <w:rFonts w:ascii="Calibri" w:cs="Calibri" w:eastAsia="Calibri" w:hAnsi="Calibri"/>
          <w:color w:val="222222"/>
          <w:sz w:val="21"/>
          <w:szCs w:val="21"/>
        </w:rPr>
        <w:t xml:space="preserve">The organising model for the board is a stack: four regulatory layers sitting on top of one AI system, each governing it independently. Read top to bottom, the obligations accumulate downward onto the enterprise.</w:t>
      </w:r>
    </w:p>
    <w:tbl>
      <w:tblPr>
        <w:tblW w:type="dxa" w:w="10080"/>
        <w:tblBorders>
          <w:top w:val="single" w:color="D6DEEB" w:sz="2"/>
          <w:left w:val="single" w:color="D6DEEB" w:sz="2"/>
          <w:bottom w:val="single" w:color="D6DEEB" w:sz="2"/>
          <w:right w:val="single" w:color="D6DEEB" w:sz="2"/>
          <w:insideH w:val="single" w:color="auto" w:sz="4"/>
          <w:insideV w:val="single" w:color="auto" w:sz="4"/>
        </w:tblBorders>
      </w:tblPr>
      <w:tblGrid>
        <w:gridCol w:w="2600"/>
        <w:gridCol w:w="7480"/>
      </w:tblGrid>
      <w:tr>
        <w:tc>
          <w:tcPr>
            <w:tcW w:type="dxa" w:w="2600"/>
            <w:shd w:fill="1E2761" w:color="auto" w:val="clear"/>
            <w:tcMar>
              <w:top w:type="dxa" w:w="55"/>
              <w:left w:type="dxa" w:w="90"/>
              <w:bottom w:type="dxa" w:w="55"/>
              <w:right w:type="dxa" w:w="90"/>
            </w:tcMar>
            <w:vAlign w:val="center"/>
          </w:tcPr>
          <w:p>
            <w:r>
              <w:rPr>
                <w:rFonts w:ascii="Calibri" w:cs="Calibri" w:eastAsia="Calibri" w:hAnsi="Calibri"/>
                <w:b/>
                <w:bCs/>
                <w:color w:val="FFFFFF"/>
                <w:sz w:val="19"/>
                <w:szCs w:val="19"/>
              </w:rPr>
              <w:t xml:space="preserve">Layer</w:t>
            </w:r>
          </w:p>
        </w:tc>
        <w:tc>
          <w:tcPr>
            <w:tcW w:type="dxa" w:w="7480"/>
            <w:shd w:fill="1E2761" w:color="auto" w:val="clear"/>
            <w:tcMar>
              <w:top w:type="dxa" w:w="55"/>
              <w:left w:type="dxa" w:w="90"/>
              <w:bottom w:type="dxa" w:w="55"/>
              <w:right w:type="dxa" w:w="90"/>
            </w:tcMar>
            <w:vAlign w:val="center"/>
          </w:tcPr>
          <w:p>
            <w:r>
              <w:rPr>
                <w:rFonts w:ascii="Calibri" w:cs="Calibri" w:eastAsia="Calibri" w:hAnsi="Calibri"/>
                <w:b/>
                <w:bCs/>
                <w:color w:val="FFFFFF"/>
                <w:sz w:val="19"/>
                <w:szCs w:val="19"/>
              </w:rPr>
              <w:t xml:space="preserve">What it governs</w:t>
            </w:r>
          </w:p>
        </w:tc>
      </w:tr>
      <w:tr>
        <w:tc>
          <w:tcPr>
            <w:tcW w:type="dxa" w:w="2600"/>
            <w:shd w:fill="E9F0FC" w:color="auto" w:val="clear"/>
            <w:tcMar>
              <w:top w:type="dxa" w:w="55"/>
              <w:left w:type="dxa" w:w="90"/>
              <w:bottom w:type="dxa" w:w="55"/>
              <w:right w:type="dxa" w:w="90"/>
            </w:tcMar>
            <w:vAlign w:val="center"/>
          </w:tcPr>
          <w:p>
            <w:r>
              <w:rPr>
                <w:rFonts w:ascii="Calibri" w:cs="Calibri" w:eastAsia="Calibri" w:hAnsi="Calibri"/>
                <w:b/>
                <w:bCs/>
                <w:color w:val="1E2761"/>
                <w:sz w:val="19"/>
                <w:szCs w:val="19"/>
              </w:rPr>
              <w:t xml:space="preserve">SEBI Cyber (Oct 2025)</w:t>
            </w:r>
          </w:p>
        </w:tc>
        <w:tc>
          <w:tcPr>
            <w:tcW w:type="dxa" w:w="7480"/>
            <w:shd w:fill="E9F0FC" w:color="auto" w:val="clear"/>
            <w:tcMar>
              <w:top w:type="dxa" w:w="55"/>
              <w:left w:type="dxa" w:w="90"/>
              <w:bottom w:type="dxa" w:w="55"/>
              <w:right w:type="dxa" w:w="90"/>
            </w:tcMar>
            <w:vAlign w:val="center"/>
          </w:tcPr>
          <w:p>
            <w:r>
              <w:rPr>
                <w:rFonts w:ascii="Calibri" w:cs="Calibri" w:eastAsia="Calibri" w:hAnsi="Calibri"/>
                <w:color w:val="222222"/>
                <w:sz w:val="19"/>
                <w:szCs w:val="19"/>
              </w:rPr>
              <w:t xml:space="preserve">Capital-markets layer — 24/7 SOC, quarterly board cyber review, algo-trading coverage</w:t>
            </w:r>
          </w:p>
        </w:tc>
      </w:tr>
      <w:tr>
        <w:tc>
          <w:tcPr>
            <w:tcW w:type="dxa" w:w="2600"/>
            <w:tcMar>
              <w:top w:type="dxa" w:w="55"/>
              <w:left w:type="dxa" w:w="90"/>
              <w:bottom w:type="dxa" w:w="55"/>
              <w:right w:type="dxa" w:w="90"/>
            </w:tcMar>
            <w:vAlign w:val="center"/>
          </w:tcPr>
          <w:p>
            <w:r>
              <w:rPr>
                <w:rFonts w:ascii="Calibri" w:cs="Calibri" w:eastAsia="Calibri" w:hAnsi="Calibri"/>
                <w:b/>
                <w:bCs/>
                <w:color w:val="1E2761"/>
                <w:sz w:val="19"/>
                <w:szCs w:val="19"/>
              </w:rPr>
              <w:t xml:space="preserve">RBI FREE-AI + IT Risk</w:t>
            </w:r>
          </w:p>
        </w:tc>
        <w:tc>
          <w:tcPr>
            <w:tcW w:type="dxa" w:w="7480"/>
            <w:tcMar>
              <w:top w:type="dxa" w:w="55"/>
              <w:left w:type="dxa" w:w="90"/>
              <w:bottom w:type="dxa" w:w="55"/>
              <w:right w:type="dxa" w:w="90"/>
            </w:tcMar>
            <w:vAlign w:val="center"/>
          </w:tcPr>
          <w:p>
            <w:r>
              <w:rPr>
                <w:rFonts w:ascii="Calibri" w:cs="Calibri" w:eastAsia="Calibri" w:hAnsi="Calibri"/>
                <w:color w:val="222222"/>
                <w:sz w:val="19"/>
                <w:szCs w:val="19"/>
              </w:rPr>
              <w:t xml:space="preserve">Prudential layer — model risk, third-party AI, operational resilience, board oversight</w:t>
            </w:r>
          </w:p>
        </w:tc>
      </w:tr>
      <w:tr>
        <w:tc>
          <w:tcPr>
            <w:tcW w:type="dxa" w:w="2600"/>
            <w:shd w:fill="E9F0FC" w:color="auto" w:val="clear"/>
            <w:tcMar>
              <w:top w:type="dxa" w:w="55"/>
              <w:left w:type="dxa" w:w="90"/>
              <w:bottom w:type="dxa" w:w="55"/>
              <w:right w:type="dxa" w:w="90"/>
            </w:tcMar>
            <w:vAlign w:val="center"/>
          </w:tcPr>
          <w:p>
            <w:r>
              <w:rPr>
                <w:rFonts w:ascii="Calibri" w:cs="Calibri" w:eastAsia="Calibri" w:hAnsi="Calibri"/>
                <w:b/>
                <w:bCs/>
                <w:color w:val="1E2761"/>
                <w:sz w:val="19"/>
                <w:szCs w:val="19"/>
              </w:rPr>
              <w:t xml:space="preserve">CERT-In 2022</w:t>
            </w:r>
          </w:p>
        </w:tc>
        <w:tc>
          <w:tcPr>
            <w:tcW w:type="dxa" w:w="7480"/>
            <w:shd w:fill="E9F0FC" w:color="auto" w:val="clear"/>
            <w:tcMar>
              <w:top w:type="dxa" w:w="55"/>
              <w:left w:type="dxa" w:w="90"/>
              <w:bottom w:type="dxa" w:w="55"/>
              <w:right w:type="dxa" w:w="90"/>
            </w:tcMar>
            <w:vAlign w:val="center"/>
          </w:tcPr>
          <w:p>
            <w:r>
              <w:rPr>
                <w:rFonts w:ascii="Calibri" w:cs="Calibri" w:eastAsia="Calibri" w:hAnsi="Calibri"/>
                <w:color w:val="222222"/>
                <w:sz w:val="19"/>
                <w:szCs w:val="19"/>
              </w:rPr>
              <w:t xml:space="preserve">Incident layer — six-hour cyber-incident reporting, covers AI-system failures</w:t>
            </w:r>
          </w:p>
        </w:tc>
      </w:tr>
      <w:tr>
        <w:tc>
          <w:tcPr>
            <w:tcW w:type="dxa" w:w="2600"/>
            <w:tcMar>
              <w:top w:type="dxa" w:w="55"/>
              <w:left w:type="dxa" w:w="90"/>
              <w:bottom w:type="dxa" w:w="55"/>
              <w:right w:type="dxa" w:w="90"/>
            </w:tcMar>
            <w:vAlign w:val="center"/>
          </w:tcPr>
          <w:p>
            <w:r>
              <w:rPr>
                <w:rFonts w:ascii="Calibri" w:cs="Calibri" w:eastAsia="Calibri" w:hAnsi="Calibri"/>
                <w:b/>
                <w:bCs/>
                <w:color w:val="1E2761"/>
                <w:sz w:val="19"/>
                <w:szCs w:val="19"/>
              </w:rPr>
              <w:t xml:space="preserve">DPDP 2023 + Rules 2025</w:t>
            </w:r>
          </w:p>
        </w:tc>
        <w:tc>
          <w:tcPr>
            <w:tcW w:type="dxa" w:w="7480"/>
            <w:tcMar>
              <w:top w:type="dxa" w:w="55"/>
              <w:left w:type="dxa" w:w="90"/>
              <w:bottom w:type="dxa" w:w="55"/>
              <w:right w:type="dxa" w:w="90"/>
            </w:tcMar>
            <w:vAlign w:val="center"/>
          </w:tcPr>
          <w:p>
            <w:r>
              <w:rPr>
                <w:rFonts w:ascii="Calibri" w:cs="Calibri" w:eastAsia="Calibri" w:hAnsi="Calibri"/>
                <w:color w:val="222222"/>
                <w:sz w:val="19"/>
                <w:szCs w:val="19"/>
              </w:rPr>
              <w:t xml:space="preserve">Data layer — lawful processing, consent, DPIA, breach notification</w:t>
            </w:r>
          </w:p>
        </w:tc>
      </w:tr>
    </w:tbl>
    <w:p>
      <w:pPr>
        <w:spacing w:after="40" w:line="276"/>
      </w:pPr>
      <w:r>
        <w:rPr>
          <w:rFonts w:ascii="Calibri" w:cs="Calibri" w:eastAsia="Calibri" w:hAnsi="Calibri"/>
          <w:color w:val="222222"/>
          <w:sz w:val="21"/>
          <w:szCs w:val="21"/>
        </w:rPr>
        <w:t xml:space="preserve"/>
      </w:r>
    </w:p>
    <w:p>
      <w:pPr>
        <w:pStyle w:val="Heading1"/>
        <w:spacing w:after="120" w:before="240"/>
      </w:pPr>
      <w:r>
        <w:rPr>
          <w:rFonts w:ascii="Cambria" w:cs="Cambria" w:eastAsia="Cambria" w:hAnsi="Cambria"/>
          <w:b/>
          <w:bCs/>
          <w:color w:val="1E2761"/>
          <w:sz w:val="28"/>
          <w:szCs w:val="28"/>
        </w:rPr>
        <w:t xml:space="preserve">3.  What each mandate demands at board level</w:t>
      </w:r>
    </w:p>
    <w:tbl>
      <w:tblPr>
        <w:tblW w:type="dxa" w:w="10080"/>
        <w:tblBorders>
          <w:top w:val="single" w:color="D6DEEB" w:sz="2"/>
          <w:left w:val="single" w:color="D6DEEB" w:sz="2"/>
          <w:bottom w:val="single" w:color="D6DEEB" w:sz="2"/>
          <w:right w:val="single" w:color="D6DEEB" w:sz="2"/>
          <w:insideH w:val="single" w:color="auto" w:sz="4"/>
          <w:insideV w:val="single" w:color="auto" w:sz="4"/>
        </w:tblBorders>
      </w:tblPr>
      <w:tblGrid>
        <w:gridCol w:w="2100"/>
        <w:gridCol w:w="4980"/>
        <w:gridCol w:w="3000"/>
      </w:tblGrid>
      <w:tr>
        <w:tc>
          <w:tcPr>
            <w:tcW w:type="dxa" w:w="2100"/>
            <w:shd w:fill="1E2761" w:color="auto" w:val="clear"/>
            <w:tcMar>
              <w:top w:type="dxa" w:w="55"/>
              <w:left w:type="dxa" w:w="90"/>
              <w:bottom w:type="dxa" w:w="55"/>
              <w:right w:type="dxa" w:w="90"/>
            </w:tcMar>
            <w:vAlign w:val="center"/>
          </w:tcPr>
          <w:p>
            <w:r>
              <w:rPr>
                <w:rFonts w:ascii="Calibri" w:cs="Calibri" w:eastAsia="Calibri" w:hAnsi="Calibri"/>
                <w:b/>
                <w:bCs/>
                <w:color w:val="FFFFFF"/>
                <w:sz w:val="19"/>
                <w:szCs w:val="19"/>
              </w:rPr>
              <w:t xml:space="preserve">Instrument</w:t>
            </w:r>
          </w:p>
        </w:tc>
        <w:tc>
          <w:tcPr>
            <w:tcW w:type="dxa" w:w="4980"/>
            <w:shd w:fill="1E2761" w:color="auto" w:val="clear"/>
            <w:tcMar>
              <w:top w:type="dxa" w:w="55"/>
              <w:left w:type="dxa" w:w="90"/>
              <w:bottom w:type="dxa" w:w="55"/>
              <w:right w:type="dxa" w:w="90"/>
            </w:tcMar>
            <w:vAlign w:val="center"/>
          </w:tcPr>
          <w:p>
            <w:r>
              <w:rPr>
                <w:rFonts w:ascii="Calibri" w:cs="Calibri" w:eastAsia="Calibri" w:hAnsi="Calibri"/>
                <w:b/>
                <w:bCs/>
                <w:color w:val="FFFFFF"/>
                <w:sz w:val="19"/>
                <w:szCs w:val="19"/>
              </w:rPr>
              <w:t xml:space="preserve">Board-level obligation</w:t>
            </w:r>
          </w:p>
        </w:tc>
        <w:tc>
          <w:tcPr>
            <w:tcW w:type="dxa" w:w="3000"/>
            <w:shd w:fill="1E2761" w:color="auto" w:val="clear"/>
            <w:tcMar>
              <w:top w:type="dxa" w:w="55"/>
              <w:left w:type="dxa" w:w="90"/>
              <w:bottom w:type="dxa" w:w="55"/>
              <w:right w:type="dxa" w:w="90"/>
            </w:tcMar>
            <w:vAlign w:val="center"/>
          </w:tcPr>
          <w:p>
            <w:r>
              <w:rPr>
                <w:rFonts w:ascii="Calibri" w:cs="Calibri" w:eastAsia="Calibri" w:hAnsi="Calibri"/>
                <w:b/>
                <w:bCs/>
                <w:color w:val="FFFFFF"/>
                <w:sz w:val="19"/>
                <w:szCs w:val="19"/>
              </w:rPr>
              <w:t xml:space="preserve">Trigger / hook</w:t>
            </w:r>
          </w:p>
        </w:tc>
      </w:tr>
      <w:tr>
        <w:tc>
          <w:tcPr>
            <w:tcW w:type="dxa" w:w="2100"/>
            <w:shd w:fill="E9F0FC" w:color="auto" w:val="clear"/>
            <w:tcMar>
              <w:top w:type="dxa" w:w="55"/>
              <w:left w:type="dxa" w:w="90"/>
              <w:bottom w:type="dxa" w:w="55"/>
              <w:right w:type="dxa" w:w="90"/>
            </w:tcMar>
            <w:vAlign w:val="center"/>
          </w:tcPr>
          <w:p>
            <w:r>
              <w:rPr>
                <w:rFonts w:ascii="Calibri" w:cs="Calibri" w:eastAsia="Calibri" w:hAnsi="Calibri"/>
                <w:b/>
                <w:bCs/>
                <w:color w:val="1E2761"/>
                <w:sz w:val="19"/>
                <w:szCs w:val="19"/>
              </w:rPr>
              <w:t xml:space="preserve">DPDP Act 2023</w:t>
            </w:r>
          </w:p>
        </w:tc>
        <w:tc>
          <w:tcPr>
            <w:tcW w:type="dxa" w:w="4980"/>
            <w:shd w:fill="E9F0FC" w:color="auto" w:val="clear"/>
            <w:tcMar>
              <w:top w:type="dxa" w:w="55"/>
              <w:left w:type="dxa" w:w="90"/>
              <w:bottom w:type="dxa" w:w="55"/>
              <w:right w:type="dxa" w:w="90"/>
            </w:tcMar>
            <w:vAlign w:val="center"/>
          </w:tcPr>
          <w:p>
            <w:r>
              <w:rPr>
                <w:rFonts w:ascii="Calibri" w:cs="Calibri" w:eastAsia="Calibri" w:hAnsi="Calibri"/>
                <w:color w:val="222222"/>
                <w:sz w:val="19"/>
                <w:szCs w:val="19"/>
              </w:rPr>
              <w:t xml:space="preserve">DPIA, lawful &amp; revocable consent, DPO accountability, breach notification</w:t>
            </w:r>
          </w:p>
        </w:tc>
        <w:tc>
          <w:tcPr>
            <w:tcW w:type="dxa" w:w="3000"/>
            <w:shd w:fill="E9F0FC" w:color="auto" w:val="clear"/>
            <w:tcMar>
              <w:top w:type="dxa" w:w="55"/>
              <w:left w:type="dxa" w:w="90"/>
              <w:bottom w:type="dxa" w:w="55"/>
              <w:right w:type="dxa" w:w="90"/>
            </w:tcMar>
            <w:vAlign w:val="center"/>
          </w:tcPr>
          <w:p>
            <w:r>
              <w:rPr>
                <w:rFonts w:ascii="Calibri" w:cs="Calibri" w:eastAsia="Calibri" w:hAnsi="Calibri"/>
                <w:color w:val="B87A1E"/>
                <w:sz w:val="19"/>
                <w:szCs w:val="19"/>
              </w:rPr>
              <w:t xml:space="preserve">Penalties up to ₹250 cr per violation category ⚠</w:t>
            </w:r>
          </w:p>
        </w:tc>
      </w:tr>
      <w:tr>
        <w:tc>
          <w:tcPr>
            <w:tcW w:type="dxa" w:w="2100"/>
            <w:tcMar>
              <w:top w:type="dxa" w:w="55"/>
              <w:left w:type="dxa" w:w="90"/>
              <w:bottom w:type="dxa" w:w="55"/>
              <w:right w:type="dxa" w:w="90"/>
            </w:tcMar>
            <w:vAlign w:val="center"/>
          </w:tcPr>
          <w:p>
            <w:r>
              <w:rPr>
                <w:rFonts w:ascii="Calibri" w:cs="Calibri" w:eastAsia="Calibri" w:hAnsi="Calibri"/>
                <w:b/>
                <w:bCs/>
                <w:color w:val="1E2761"/>
                <w:sz w:val="19"/>
                <w:szCs w:val="19"/>
              </w:rPr>
              <w:t xml:space="preserve">CERT-In 2022</w:t>
            </w:r>
          </w:p>
        </w:tc>
        <w:tc>
          <w:tcPr>
            <w:tcW w:type="dxa" w:w="4980"/>
            <w:tcMar>
              <w:top w:type="dxa" w:w="55"/>
              <w:left w:type="dxa" w:w="90"/>
              <w:bottom w:type="dxa" w:w="55"/>
              <w:right w:type="dxa" w:w="90"/>
            </w:tcMar>
            <w:vAlign w:val="center"/>
          </w:tcPr>
          <w:p>
            <w:r>
              <w:rPr>
                <w:rFonts w:ascii="Calibri" w:cs="Calibri" w:eastAsia="Calibri" w:hAnsi="Calibri"/>
                <w:color w:val="222222"/>
                <w:sz w:val="19"/>
                <w:szCs w:val="19"/>
              </w:rPr>
              <w:t xml:space="preserve">Cyber-incident detection &amp; response readiness at board level</w:t>
            </w:r>
          </w:p>
        </w:tc>
        <w:tc>
          <w:tcPr>
            <w:tcW w:type="dxa" w:w="3000"/>
            <w:tcMar>
              <w:top w:type="dxa" w:w="55"/>
              <w:left w:type="dxa" w:w="90"/>
              <w:bottom w:type="dxa" w:w="55"/>
              <w:right w:type="dxa" w:w="90"/>
            </w:tcMar>
            <w:vAlign w:val="center"/>
          </w:tcPr>
          <w:p>
            <w:r>
              <w:rPr>
                <w:rFonts w:ascii="Calibri" w:cs="Calibri" w:eastAsia="Calibri" w:hAnsi="Calibri"/>
                <w:color w:val="222222"/>
                <w:sz w:val="19"/>
                <w:szCs w:val="19"/>
              </w:rPr>
              <w:t xml:space="preserve">Six-hour incident-reporting window</w:t>
            </w:r>
          </w:p>
        </w:tc>
      </w:tr>
      <w:tr>
        <w:tc>
          <w:tcPr>
            <w:tcW w:type="dxa" w:w="2100"/>
            <w:shd w:fill="E9F0FC" w:color="auto" w:val="clear"/>
            <w:tcMar>
              <w:top w:type="dxa" w:w="55"/>
              <w:left w:type="dxa" w:w="90"/>
              <w:bottom w:type="dxa" w:w="55"/>
              <w:right w:type="dxa" w:w="90"/>
            </w:tcMar>
            <w:vAlign w:val="center"/>
          </w:tcPr>
          <w:p>
            <w:r>
              <w:rPr>
                <w:rFonts w:ascii="Calibri" w:cs="Calibri" w:eastAsia="Calibri" w:hAnsi="Calibri"/>
                <w:b/>
                <w:bCs/>
                <w:color w:val="1E2761"/>
                <w:sz w:val="19"/>
                <w:szCs w:val="19"/>
              </w:rPr>
              <w:t xml:space="preserve">RBI FREE-AI</w:t>
            </w:r>
          </w:p>
        </w:tc>
        <w:tc>
          <w:tcPr>
            <w:tcW w:type="dxa" w:w="4980"/>
            <w:shd w:fill="E9F0FC" w:color="auto" w:val="clear"/>
            <w:tcMar>
              <w:top w:type="dxa" w:w="55"/>
              <w:left w:type="dxa" w:w="90"/>
              <w:bottom w:type="dxa" w:w="55"/>
              <w:right w:type="dxa" w:w="90"/>
            </w:tcMar>
            <w:vAlign w:val="center"/>
          </w:tcPr>
          <w:p>
            <w:r>
              <w:rPr>
                <w:rFonts w:ascii="Calibri" w:cs="Calibri" w:eastAsia="Calibri" w:hAnsi="Calibri"/>
                <w:color w:val="222222"/>
                <w:sz w:val="19"/>
                <w:szCs w:val="19"/>
              </w:rPr>
              <w:t xml:space="preserve">Seven Sutras · six pillars · eight-category AI risk taxonomy; board risk oversight</w:t>
            </w:r>
          </w:p>
        </w:tc>
        <w:tc>
          <w:tcPr>
            <w:tcW w:type="dxa" w:w="3000"/>
            <w:shd w:fill="E9F0FC" w:color="auto" w:val="clear"/>
            <w:tcMar>
              <w:top w:type="dxa" w:w="55"/>
              <w:left w:type="dxa" w:w="90"/>
              <w:bottom w:type="dxa" w:w="55"/>
              <w:right w:type="dxa" w:w="90"/>
            </w:tcMar>
            <w:vAlign w:val="center"/>
          </w:tcPr>
          <w:p>
            <w:r>
              <w:rPr>
                <w:rFonts w:ascii="Calibri" w:cs="Calibri" w:eastAsia="Calibri" w:hAnsi="Calibri"/>
                <w:color w:val="B87A1E"/>
                <w:sz w:val="19"/>
                <w:szCs w:val="19"/>
              </w:rPr>
              <w:t xml:space="preserve">Supervisory examination consequences (Aug 2025) ⚠</w:t>
            </w:r>
          </w:p>
        </w:tc>
      </w:tr>
      <w:tr>
        <w:tc>
          <w:tcPr>
            <w:tcW w:type="dxa" w:w="2100"/>
            <w:tcMar>
              <w:top w:type="dxa" w:w="55"/>
              <w:left w:type="dxa" w:w="90"/>
              <w:bottom w:type="dxa" w:w="55"/>
              <w:right w:type="dxa" w:w="90"/>
            </w:tcMar>
            <w:vAlign w:val="center"/>
          </w:tcPr>
          <w:p>
            <w:r>
              <w:rPr>
                <w:rFonts w:ascii="Calibri" w:cs="Calibri" w:eastAsia="Calibri" w:hAnsi="Calibri"/>
                <w:b/>
                <w:bCs/>
                <w:color w:val="1E2761"/>
                <w:sz w:val="19"/>
                <w:szCs w:val="19"/>
              </w:rPr>
              <w:t xml:space="preserve">RBI Outsourcing</w:t>
            </w:r>
          </w:p>
        </w:tc>
        <w:tc>
          <w:tcPr>
            <w:tcW w:type="dxa" w:w="4980"/>
            <w:tcMar>
              <w:top w:type="dxa" w:w="55"/>
              <w:left w:type="dxa" w:w="90"/>
              <w:bottom w:type="dxa" w:w="55"/>
              <w:right w:type="dxa" w:w="90"/>
            </w:tcMar>
            <w:vAlign w:val="center"/>
          </w:tcPr>
          <w:p>
            <w:r>
              <w:rPr>
                <w:rFonts w:ascii="Calibri" w:cs="Calibri" w:eastAsia="Calibri" w:hAnsi="Calibri"/>
                <w:color w:val="222222"/>
                <w:sz w:val="19"/>
                <w:szCs w:val="19"/>
              </w:rPr>
              <w:t xml:space="preserve">Material-outsourcing governance for AI-as-a-service; audit rights</w:t>
            </w:r>
          </w:p>
        </w:tc>
        <w:tc>
          <w:tcPr>
            <w:tcW w:type="dxa" w:w="3000"/>
            <w:tcMar>
              <w:top w:type="dxa" w:w="55"/>
              <w:left w:type="dxa" w:w="90"/>
              <w:bottom w:type="dxa" w:w="55"/>
              <w:right w:type="dxa" w:w="90"/>
            </w:tcMar>
            <w:vAlign w:val="center"/>
          </w:tcPr>
          <w:p>
            <w:r>
              <w:rPr>
                <w:rFonts w:ascii="Calibri" w:cs="Calibri" w:eastAsia="Calibri" w:hAnsi="Calibri"/>
                <w:color w:val="B87A1E"/>
                <w:sz w:val="19"/>
                <w:szCs w:val="19"/>
              </w:rPr>
              <w:t xml:space="preserve">AIFI Directions — comply by 10 Apr 2026 ⚠</w:t>
            </w:r>
          </w:p>
        </w:tc>
      </w:tr>
      <w:tr>
        <w:tc>
          <w:tcPr>
            <w:tcW w:type="dxa" w:w="2100"/>
            <w:shd w:fill="E9F0FC" w:color="auto" w:val="clear"/>
            <w:tcMar>
              <w:top w:type="dxa" w:w="55"/>
              <w:left w:type="dxa" w:w="90"/>
              <w:bottom w:type="dxa" w:w="55"/>
              <w:right w:type="dxa" w:w="90"/>
            </w:tcMar>
            <w:vAlign w:val="center"/>
          </w:tcPr>
          <w:p>
            <w:r>
              <w:rPr>
                <w:rFonts w:ascii="Calibri" w:cs="Calibri" w:eastAsia="Calibri" w:hAnsi="Calibri"/>
                <w:b/>
                <w:bCs/>
                <w:color w:val="1E2761"/>
                <w:sz w:val="19"/>
                <w:szCs w:val="19"/>
              </w:rPr>
              <w:t xml:space="preserve">SEBI Cyber 2025</w:t>
            </w:r>
          </w:p>
        </w:tc>
        <w:tc>
          <w:tcPr>
            <w:tcW w:type="dxa" w:w="4980"/>
            <w:shd w:fill="E9F0FC" w:color="auto" w:val="clear"/>
            <w:tcMar>
              <w:top w:type="dxa" w:w="55"/>
              <w:left w:type="dxa" w:w="90"/>
              <w:bottom w:type="dxa" w:w="55"/>
              <w:right w:type="dxa" w:w="90"/>
            </w:tcMar>
            <w:vAlign w:val="center"/>
          </w:tcPr>
          <w:p>
            <w:r>
              <w:rPr>
                <w:rFonts w:ascii="Calibri" w:cs="Calibri" w:eastAsia="Calibri" w:hAnsi="Calibri"/>
                <w:color w:val="222222"/>
                <w:sz w:val="19"/>
                <w:szCs w:val="19"/>
              </w:rPr>
              <w:t xml:space="preserve">24/7 SOC, Zero-Trust, quarterly board cyber review of algo systems</w:t>
            </w:r>
          </w:p>
        </w:tc>
        <w:tc>
          <w:tcPr>
            <w:tcW w:type="dxa" w:w="3000"/>
            <w:shd w:fill="E9F0FC" w:color="auto" w:val="clear"/>
            <w:tcMar>
              <w:top w:type="dxa" w:w="55"/>
              <w:left w:type="dxa" w:w="90"/>
              <w:bottom w:type="dxa" w:w="55"/>
              <w:right w:type="dxa" w:w="90"/>
            </w:tcMar>
            <w:vAlign w:val="center"/>
          </w:tcPr>
          <w:p>
            <w:r>
              <w:rPr>
                <w:rFonts w:ascii="Calibri" w:cs="Calibri" w:eastAsia="Calibri" w:hAnsi="Calibri"/>
                <w:color w:val="222222"/>
                <w:sz w:val="19"/>
                <w:szCs w:val="19"/>
              </w:rPr>
              <w:t xml:space="preserve">Quarterly board-level attestation</w:t>
            </w:r>
          </w:p>
        </w:tc>
      </w:tr>
    </w:tbl>
    <w:p>
      <w:pPr>
        <w:spacing w:after="120" w:before="60"/>
      </w:pPr>
      <w:r>
        <w:rPr>
          <w:rFonts w:ascii="Calibri" w:cs="Calibri" w:eastAsia="Calibri" w:hAnsi="Calibri"/>
          <w:i/>
          <w:iCs/>
          <w:color w:val="5A6684"/>
          <w:sz w:val="18"/>
          <w:szCs w:val="18"/>
        </w:rPr>
        <w:t xml:space="preserve">⚠ = figure or date to verify before external publication — see the verification note at the end.</w:t>
      </w:r>
    </w:p>
    <w:p>
      <w:r>
        <w:br w:type="page"/>
      </w:r>
    </w:p>
    <w:p>
      <w:pPr>
        <w:pStyle w:val="Heading1"/>
        <w:spacing w:after="120" w:before="240"/>
      </w:pPr>
      <w:r>
        <w:rPr>
          <w:rFonts w:ascii="Cambria" w:cs="Cambria" w:eastAsia="Cambria" w:hAnsi="Cambria"/>
          <w:b/>
          <w:bCs/>
          <w:color w:val="1E2761"/>
          <w:sz w:val="28"/>
          <w:szCs w:val="28"/>
        </w:rPr>
        <w:t xml:space="preserve">4.  The hidden structure: Regulatory Parallelism</w:t>
      </w:r>
    </w:p>
    <w:p>
      <w:pPr>
        <w:spacing w:after="120" w:line="276"/>
      </w:pPr>
      <w:r>
        <w:rPr>
          <w:rFonts w:ascii="Calibri" w:cs="Calibri" w:eastAsia="Calibri" w:hAnsi="Calibri"/>
          <w:color w:val="222222"/>
          <w:sz w:val="21"/>
          <w:szCs w:val="21"/>
        </w:rPr>
        <w:t xml:space="preserve">Regulatory Parallelism is a structurally distinct coordination pattern in which functionally equivalent mandates are issued by independent regulators governing the same systems, with no cross-reference between their instruments. It is not convergence (there is no coordinating mechanism) and not contradiction (the obligations do not conflict). It is duplication — and the burden lands on the regulated entity, not the regulator.</w:t>
      </w:r>
    </w:p>
    <w:p>
      <w:pPr>
        <w:pStyle w:val="Heading2"/>
        <w:spacing w:after="80" w:before="200"/>
      </w:pPr>
      <w:r>
        <w:rPr>
          <w:rFonts w:ascii="Cambria" w:cs="Cambria" w:eastAsia="Cambria" w:hAnsi="Cambria"/>
          <w:b/>
          <w:bCs/>
          <w:color w:val="16203D"/>
          <w:sz w:val="24"/>
          <w:szCs w:val="24"/>
        </w:rPr>
        <w:t xml:space="preserve">Evidence base</w:t>
      </w:r>
    </w:p>
    <w:p>
      <w:pPr>
        <w:spacing w:after="120" w:line="276"/>
      </w:pPr>
      <w:r>
        <w:rPr>
          <w:rFonts w:ascii="Calibri" w:cs="Calibri" w:eastAsia="Calibri" w:hAnsi="Calibri"/>
          <w:color w:val="222222"/>
          <w:sz w:val="21"/>
          <w:szCs w:val="21"/>
        </w:rPr>
        <w:t xml:space="preserve">The construct is grounded in a systematic analysis of 18 binding regulatory instruments issued by RBI, SEBI and CERT-In between 2012 and 2024 — 492 pages, 450 extracted requirement units, 91 AI-relevant units coded using Institutional Grammar 2.0. Across 40 coordination pairs in 10 governance clusters:</w:t>
      </w:r>
    </w:p>
    <w:p>
      <w:pPr>
        <w:pStyle w:val="ListParagraph"/>
        <w:numPr>
          <w:ilvl w:val="0"/>
          <w:numId w:val="1"/>
        </w:numPr>
        <w:spacing w:after="70" w:line="270"/>
      </w:pPr>
      <w:r>
        <w:rPr>
          <w:rFonts w:ascii="Calibri" w:cs="Calibri" w:eastAsia="Calibri" w:hAnsi="Calibri"/>
          <w:b/>
          <w:bCs/>
          <w:color w:val="1E2761"/>
          <w:sz w:val="21"/>
          <w:szCs w:val="21"/>
        </w:rPr>
        <w:t xml:space="preserve">23 of 40 </w:t>
      </w:r>
      <w:r>
        <w:rPr>
          <w:rFonts w:ascii="Calibri" w:cs="Calibri" w:eastAsia="Calibri" w:hAnsi="Calibri"/>
          <w:color w:val="222222"/>
          <w:sz w:val="21"/>
          <w:szCs w:val="21"/>
        </w:rPr>
        <w:t xml:space="preserve">coordination pairs classified as Parallelism (against 10 convergence, 1 contradiction).</w:t>
      </w:r>
    </w:p>
    <w:p>
      <w:pPr>
        <w:pStyle w:val="ListParagraph"/>
        <w:numPr>
          <w:ilvl w:val="0"/>
          <w:numId w:val="1"/>
        </w:numPr>
        <w:spacing w:after="70" w:line="270"/>
      </w:pPr>
      <w:r>
        <w:rPr>
          <w:rFonts w:ascii="Calibri" w:cs="Calibri" w:eastAsia="Calibri" w:hAnsi="Calibri"/>
          <w:b/>
          <w:bCs/>
          <w:color w:val="1E2761"/>
          <w:sz w:val="21"/>
          <w:szCs w:val="21"/>
        </w:rPr>
        <w:t xml:space="preserve">11 requirement units </w:t>
      </w:r>
      <w:r>
        <w:rPr>
          <w:rFonts w:ascii="Calibri" w:cs="Calibri" w:eastAsia="Calibri" w:hAnsi="Calibri"/>
          <w:color w:val="222222"/>
          <w:sz w:val="21"/>
          <w:szCs w:val="21"/>
        </w:rPr>
        <w:t xml:space="preserve">across four separate instruments mandated equivalent behavioural-monitoring capability — with zero cross-references between RBI and SEBI.</w:t>
      </w:r>
    </w:p>
    <w:p>
      <w:pPr>
        <w:pStyle w:val="ListParagraph"/>
        <w:numPr>
          <w:ilvl w:val="0"/>
          <w:numId w:val="1"/>
        </w:numPr>
        <w:spacing w:after="70" w:line="270"/>
      </w:pPr>
      <w:r>
        <w:rPr>
          <w:rFonts w:ascii="Calibri" w:cs="Calibri" w:eastAsia="Calibri" w:hAnsi="Calibri"/>
          <w:b/>
          <w:bCs/>
          <w:color w:val="1E2761"/>
          <w:sz w:val="21"/>
          <w:szCs w:val="21"/>
        </w:rPr>
        <w:t xml:space="preserve">90% inter-coder agreement, </w:t>
      </w:r>
      <w:r>
        <w:rPr>
          <w:rFonts w:ascii="Calibri" w:cs="Calibri" w:eastAsia="Calibri" w:hAnsi="Calibri"/>
          <w:color w:val="222222"/>
          <w:sz w:val="21"/>
          <w:szCs w:val="21"/>
        </w:rPr>
        <w:t xml:space="preserve">confirming a stable, observable pattern rather than a coding artefact.</w:t>
      </w:r>
    </w:p>
    <w:p>
      <w:pPr>
        <w:pStyle w:val="Heading1"/>
        <w:spacing w:after="120" w:before="240"/>
      </w:pPr>
      <w:r>
        <w:rPr>
          <w:rFonts w:ascii="Cambria" w:cs="Cambria" w:eastAsia="Cambria" w:hAnsi="Cambria"/>
          <w:b/>
          <w:bCs/>
          <w:color w:val="1E2761"/>
          <w:sz w:val="28"/>
          <w:szCs w:val="28"/>
        </w:rPr>
        <w:t xml:space="preserve">5.  What it costs: Governance Debt</w:t>
      </w:r>
    </w:p>
    <w:p>
      <w:pPr>
        <w:spacing w:after="120" w:line="276"/>
      </w:pPr>
      <w:r>
        <w:rPr>
          <w:rFonts w:ascii="Calibri" w:cs="Calibri" w:eastAsia="Calibri" w:hAnsi="Calibri"/>
          <w:color w:val="222222"/>
          <w:sz w:val="21"/>
          <w:szCs w:val="21"/>
        </w:rPr>
        <w:t xml:space="preserve">Governance Debt is the accumulated compliance-duplication burden transferred to the enterprise as a consequence of Regulatory Parallelism. When independent regulators impose functionally equivalent obligations without coordination, the enterprise must maintain redundant controls, parallel documentation, duplicate reporting, and overlapping assurance. Because the source lies in mandate architecture rather than in enterprise execution, the debt persists regardless of how efficient the compliance function is.</w:t>
      </w:r>
    </w:p>
    <w:p>
      <w:pPr>
        <w:spacing w:after="120" w:line="276"/>
      </w:pPr>
      <w:r>
        <w:rPr>
          <w:rFonts w:ascii="Calibri" w:cs="Calibri" w:eastAsia="Calibri" w:hAnsi="Calibri"/>
          <w:i/>
          <w:iCs/>
          <w:color w:val="5A6684"/>
          <w:sz w:val="21"/>
          <w:szCs w:val="21"/>
        </w:rPr>
        <w:t xml:space="preserve">Mechanism:  parallel mandates → compliance duplication → redundant governance infrastructure → debt carried by the enterprise.</w:t>
      </w:r>
    </w:p>
    <w:p>
      <w:pPr>
        <w:pStyle w:val="ListParagraph"/>
        <w:numPr>
          <w:ilvl w:val="0"/>
          <w:numId w:val="1"/>
        </w:numPr>
        <w:spacing w:after="70" w:line="270"/>
      </w:pPr>
      <w:r>
        <w:rPr>
          <w:rFonts w:ascii="Calibri" w:cs="Calibri" w:eastAsia="Calibri" w:hAnsi="Calibri"/>
          <w:color w:val="222222"/>
          <w:sz w:val="21"/>
          <w:szCs w:val="21"/>
        </w:rPr>
        <w:t xml:space="preserve">Existing compliance-cost research indicates regulatory compliance can consume ~23% of operating budgets in regulated environments, rising to 40–60% for dual-regulated entities. ⚠</w:t>
      </w:r>
    </w:p>
    <w:p>
      <w:pPr>
        <w:pStyle w:val="ListParagraph"/>
        <w:numPr>
          <w:ilvl w:val="0"/>
          <w:numId w:val="1"/>
        </w:numPr>
        <w:spacing w:after="70" w:line="270"/>
      </w:pPr>
      <w:r>
        <w:rPr>
          <w:rFonts w:ascii="Calibri" w:cs="Calibri" w:eastAsia="Calibri" w:hAnsi="Calibri"/>
          <w:color w:val="222222"/>
          <w:sz w:val="21"/>
          <w:szCs w:val="21"/>
        </w:rPr>
        <w:t xml:space="preserve">Reframed through Enterprise Information Management, this burden is not just financial — it is documentation, audit trails, evidence repositories and reporting systems the board must resource and oversee.</w:t>
      </w:r>
    </w:p>
    <w:p>
      <w:pPr>
        <w:pStyle w:val="Heading1"/>
        <w:spacing w:after="120" w:before="240"/>
      </w:pPr>
      <w:r>
        <w:rPr>
          <w:rFonts w:ascii="Cambria" w:cs="Cambria" w:eastAsia="Cambria" w:hAnsi="Cambria"/>
          <w:b/>
          <w:bCs/>
          <w:color w:val="1E2761"/>
          <w:sz w:val="28"/>
          <w:szCs w:val="28"/>
        </w:rPr>
        <w:t xml:space="preserve">6.  The translation gap</w:t>
      </w:r>
    </w:p>
    <w:p>
      <w:pPr>
        <w:spacing w:after="120" w:line="276"/>
      </w:pPr>
      <w:r>
        <w:rPr>
          <w:rFonts w:ascii="Calibri" w:cs="Calibri" w:eastAsia="Calibri" w:hAnsi="Calibri"/>
          <w:color w:val="222222"/>
          <w:sz w:val="21"/>
          <w:szCs w:val="21"/>
        </w:rPr>
        <w:t xml:space="preserve">The stack asks the board to oversee two structurally different logics as if they were one. Cyber instruments (CERT-In, SEBI SOC) are incident-response oriented — they specify what must happen after failure. AI-governance expectations (RBI FREE-AI, DPDP DPIA) are pre-deployment oriented — what must be assessed before deployment. Boards consequently run cyber reviews and AI-risk reviews as separate exercises against separate frameworks, duplicating effort and risking inconsistent risk narratives at the top of the house.</w:t>
      </w:r>
    </w:p>
    <w:tbl>
      <w:tblPr>
        <w:tblW w:type="dxa" w:w="10080"/>
        <w:tblBorders>
          <w:top w:val="single" w:color="D6DEEB" w:sz="2"/>
          <w:left w:val="single" w:color="D6DEEB" w:sz="2"/>
          <w:bottom w:val="single" w:color="D6DEEB" w:sz="2"/>
          <w:right w:val="single" w:color="D6DEEB" w:sz="2"/>
          <w:insideH w:val="single" w:color="auto" w:sz="4"/>
          <w:insideV w:val="single" w:color="auto" w:sz="4"/>
        </w:tblBorders>
      </w:tblPr>
      <w:tblGrid>
        <w:gridCol w:w="5040"/>
        <w:gridCol w:w="5040"/>
      </w:tblGrid>
      <w:tr>
        <w:tc>
          <w:tcPr>
            <w:tcW w:type="dxa" w:w="5040"/>
            <w:shd w:fill="5E7BC0" w:color="auto" w:val="clear"/>
            <w:tcMar>
              <w:top w:type="dxa" w:w="55"/>
              <w:left w:type="dxa" w:w="90"/>
              <w:bottom w:type="dxa" w:w="55"/>
              <w:right w:type="dxa" w:w="90"/>
            </w:tcMar>
            <w:vAlign w:val="center"/>
          </w:tcPr>
          <w:p>
            <w:r>
              <w:rPr>
                <w:rFonts w:ascii="Calibri" w:cs="Calibri" w:eastAsia="Calibri" w:hAnsi="Calibri"/>
                <w:b/>
                <w:bCs/>
                <w:color w:val="FFFFFF"/>
                <w:sz w:val="19"/>
                <w:szCs w:val="19"/>
              </w:rPr>
              <w:t xml:space="preserve">Incident-response logic (after failure)</w:t>
            </w:r>
          </w:p>
        </w:tc>
        <w:tc>
          <w:tcPr>
            <w:tcW w:type="dxa" w:w="5040"/>
            <w:shd w:fill="B87A1E" w:color="auto" w:val="clear"/>
            <w:tcMar>
              <w:top w:type="dxa" w:w="55"/>
              <w:left w:type="dxa" w:w="90"/>
              <w:bottom w:type="dxa" w:w="55"/>
              <w:right w:type="dxa" w:w="90"/>
            </w:tcMar>
            <w:vAlign w:val="center"/>
          </w:tcPr>
          <w:p>
            <w:r>
              <w:rPr>
                <w:rFonts w:ascii="Calibri" w:cs="Calibri" w:eastAsia="Calibri" w:hAnsi="Calibri"/>
                <w:b/>
                <w:bCs/>
                <w:color w:val="FFFFFF"/>
                <w:sz w:val="19"/>
                <w:szCs w:val="19"/>
              </w:rPr>
              <w:t xml:space="preserve">Pre-deployment logic (before deployment)</w:t>
            </w:r>
          </w:p>
        </w:tc>
      </w:tr>
      <w:tr>
        <w:tc>
          <w:tcPr>
            <w:tcW w:type="dxa" w:w="5040"/>
            <w:shd w:fill="E9F0FC" w:color="auto" w:val="clear"/>
            <w:tcMar>
              <w:top w:type="dxa" w:w="60"/>
              <w:left w:type="dxa" w:w="90"/>
              <w:bottom w:type="dxa" w:w="60"/>
              <w:right w:type="dxa" w:w="90"/>
            </w:tcMar>
            <w:vAlign w:val="center"/>
          </w:tcPr>
          <w:p>
            <w:pPr>
              <w:spacing w:after="40" w:line="276"/>
            </w:pPr>
            <w:r>
              <w:rPr>
                <w:rFonts w:ascii="Calibri" w:cs="Calibri" w:eastAsia="Calibri" w:hAnsi="Calibri"/>
                <w:color w:val="222222"/>
                <w:sz w:val="19"/>
                <w:szCs w:val="19"/>
              </w:rPr>
              <w:t xml:space="preserve">CERT-In six-hour reporting</w:t>
            </w:r>
          </w:p>
          <w:p>
            <w:pPr>
              <w:spacing w:after="40" w:line="276"/>
            </w:pPr>
            <w:r>
              <w:rPr>
                <w:rFonts w:ascii="Calibri" w:cs="Calibri" w:eastAsia="Calibri" w:hAnsi="Calibri"/>
                <w:color w:val="222222"/>
                <w:sz w:val="19"/>
                <w:szCs w:val="19"/>
              </w:rPr>
              <w:t xml:space="preserve">SEBI 24/7 SOC &amp; breach reporting</w:t>
            </w:r>
          </w:p>
          <w:p>
            <w:pPr>
              <w:spacing w:after="0" w:line="276"/>
            </w:pPr>
            <w:r>
              <w:rPr>
                <w:rFonts w:ascii="Calibri" w:cs="Calibri" w:eastAsia="Calibri" w:hAnsi="Calibri"/>
                <w:i/>
                <w:iCs/>
                <w:color w:val="5A6684"/>
                <w:sz w:val="19"/>
                <w:szCs w:val="19"/>
              </w:rPr>
              <w:t xml:space="preserve">Reactive — detection &amp; recovery</w:t>
            </w:r>
          </w:p>
        </w:tc>
        <w:tc>
          <w:tcPr>
            <w:tcW w:type="dxa" w:w="5040"/>
            <w:shd w:fill="E9F0FC" w:color="auto" w:val="clear"/>
            <w:tcMar>
              <w:top w:type="dxa" w:w="60"/>
              <w:left w:type="dxa" w:w="90"/>
              <w:bottom w:type="dxa" w:w="60"/>
              <w:right w:type="dxa" w:w="90"/>
            </w:tcMar>
            <w:vAlign w:val="center"/>
          </w:tcPr>
          <w:p>
            <w:pPr>
              <w:spacing w:after="40" w:line="276"/>
            </w:pPr>
            <w:r>
              <w:rPr>
                <w:rFonts w:ascii="Calibri" w:cs="Calibri" w:eastAsia="Calibri" w:hAnsi="Calibri"/>
                <w:color w:val="222222"/>
                <w:sz w:val="19"/>
                <w:szCs w:val="19"/>
              </w:rPr>
              <w:t xml:space="preserve">RBI FREE-AI risk taxonomy &amp; assurance</w:t>
            </w:r>
          </w:p>
          <w:p>
            <w:pPr>
              <w:spacing w:after="40" w:line="276"/>
            </w:pPr>
            <w:r>
              <w:rPr>
                <w:rFonts w:ascii="Calibri" w:cs="Calibri" w:eastAsia="Calibri" w:hAnsi="Calibri"/>
                <w:color w:val="222222"/>
                <w:sz w:val="19"/>
                <w:szCs w:val="19"/>
              </w:rPr>
              <w:t xml:space="preserve">DPDP DPIA before processing</w:t>
            </w:r>
          </w:p>
          <w:p>
            <w:pPr>
              <w:spacing w:after="0" w:line="276"/>
            </w:pPr>
            <w:r>
              <w:rPr>
                <w:rFonts w:ascii="Calibri" w:cs="Calibri" w:eastAsia="Calibri" w:hAnsi="Calibri"/>
                <w:i/>
                <w:iCs/>
                <w:color w:val="5A6684"/>
                <w:sz w:val="19"/>
                <w:szCs w:val="19"/>
              </w:rPr>
              <w:t xml:space="preserve">Preventive — design &amp; testing</w:t>
            </w:r>
          </w:p>
        </w:tc>
      </w:tr>
    </w:tbl>
    <w:p>
      <w:pPr>
        <w:spacing w:after="40" w:line="276"/>
      </w:pPr>
      <w:r>
        <w:rPr>
          <w:rFonts w:ascii="Calibri" w:cs="Calibri" w:eastAsia="Calibri" w:hAnsi="Calibri"/>
          <w:color w:val="222222"/>
          <w:sz w:val="21"/>
          <w:szCs w:val="21"/>
        </w:rPr>
        <w:t xml:space="preserve"/>
      </w:r>
    </w:p>
    <w:p>
      <w:pPr>
        <w:pStyle w:val="Heading1"/>
        <w:spacing w:after="120" w:before="240"/>
      </w:pPr>
      <w:r>
        <w:rPr>
          <w:rFonts w:ascii="Cambria" w:cs="Cambria" w:eastAsia="Cambria" w:hAnsi="Cambria"/>
          <w:b/>
          <w:bCs/>
          <w:color w:val="1E2761"/>
          <w:sz w:val="28"/>
          <w:szCs w:val="28"/>
        </w:rPr>
        <w:t xml:space="preserve">7.  Worked case: one AI failure, four regulatory triggers</w:t>
      </w:r>
    </w:p>
    <w:p>
      <w:pPr>
        <w:spacing w:after="120" w:line="276"/>
      </w:pPr>
      <w:r>
        <w:rPr>
          <w:rFonts w:ascii="Calibri" w:cs="Calibri" w:eastAsia="Calibri" w:hAnsi="Calibri"/>
          <w:b/>
          <w:bCs/>
          <w:color w:val="B87A1E"/>
          <w:sz w:val="21"/>
          <w:szCs w:val="21"/>
        </w:rPr>
        <w:t xml:space="preserve">Scenario.  </w:t>
      </w:r>
      <w:r>
        <w:rPr>
          <w:rFonts w:ascii="Calibri" w:cs="Calibri" w:eastAsia="Calibri" w:hAnsi="Calibri"/>
          <w:color w:val="222222"/>
          <w:sz w:val="21"/>
          <w:szCs w:val="21"/>
        </w:rPr>
        <w:t xml:space="preserve">A large bank — RBI-regulated, with a SEBI-registered broking arm — runs an AI credit-and-surveillance model. A data-poisoning incident corrupts model outputs and exposes customer personal data. A single event fires four separate regulatory pathways:</w:t>
      </w:r>
    </w:p>
    <w:tbl>
      <w:tblPr>
        <w:tblW w:type="dxa" w:w="10080"/>
        <w:tblBorders>
          <w:top w:val="single" w:color="D6DEEB" w:sz="2"/>
          <w:left w:val="single" w:color="D6DEEB" w:sz="2"/>
          <w:bottom w:val="single" w:color="D6DEEB" w:sz="2"/>
          <w:right w:val="single" w:color="D6DEEB" w:sz="2"/>
          <w:insideH w:val="single" w:color="auto" w:sz="4"/>
          <w:insideV w:val="single" w:color="auto" w:sz="4"/>
        </w:tblBorders>
      </w:tblPr>
      <w:tblGrid>
        <w:gridCol w:w="1900"/>
        <w:gridCol w:w="5180"/>
        <w:gridCol w:w="3000"/>
      </w:tblGrid>
      <w:tr>
        <w:tc>
          <w:tcPr>
            <w:tcW w:type="dxa" w:w="1900"/>
            <w:shd w:fill="1E2761" w:color="auto" w:val="clear"/>
            <w:tcMar>
              <w:top w:type="dxa" w:w="55"/>
              <w:left w:type="dxa" w:w="90"/>
              <w:bottom w:type="dxa" w:w="55"/>
              <w:right w:type="dxa" w:w="90"/>
            </w:tcMar>
            <w:vAlign w:val="center"/>
          </w:tcPr>
          <w:p>
            <w:r>
              <w:rPr>
                <w:rFonts w:ascii="Calibri" w:cs="Calibri" w:eastAsia="Calibri" w:hAnsi="Calibri"/>
                <w:b/>
                <w:bCs/>
                <w:color w:val="FFFFFF"/>
                <w:sz w:val="19"/>
                <w:szCs w:val="19"/>
              </w:rPr>
              <w:t xml:space="preserve">Regulator</w:t>
            </w:r>
          </w:p>
        </w:tc>
        <w:tc>
          <w:tcPr>
            <w:tcW w:type="dxa" w:w="5180"/>
            <w:shd w:fill="1E2761" w:color="auto" w:val="clear"/>
            <w:tcMar>
              <w:top w:type="dxa" w:w="55"/>
              <w:left w:type="dxa" w:w="90"/>
              <w:bottom w:type="dxa" w:w="55"/>
              <w:right w:type="dxa" w:w="90"/>
            </w:tcMar>
            <w:vAlign w:val="center"/>
          </w:tcPr>
          <w:p>
            <w:r>
              <w:rPr>
                <w:rFonts w:ascii="Calibri" w:cs="Calibri" w:eastAsia="Calibri" w:hAnsi="Calibri"/>
                <w:b/>
                <w:bCs/>
                <w:color w:val="FFFFFF"/>
                <w:sz w:val="19"/>
                <w:szCs w:val="19"/>
              </w:rPr>
              <w:t xml:space="preserve">Obligation triggered</w:t>
            </w:r>
          </w:p>
        </w:tc>
        <w:tc>
          <w:tcPr>
            <w:tcW w:type="dxa" w:w="3000"/>
            <w:shd w:fill="1E2761" w:color="auto" w:val="clear"/>
            <w:tcMar>
              <w:top w:type="dxa" w:w="55"/>
              <w:left w:type="dxa" w:w="90"/>
              <w:bottom w:type="dxa" w:w="55"/>
              <w:right w:type="dxa" w:w="90"/>
            </w:tcMar>
            <w:vAlign w:val="center"/>
          </w:tcPr>
          <w:p>
            <w:r>
              <w:rPr>
                <w:rFonts w:ascii="Calibri" w:cs="Calibri" w:eastAsia="Calibri" w:hAnsi="Calibri"/>
                <w:b/>
                <w:bCs/>
                <w:color w:val="FFFFFF"/>
                <w:sz w:val="19"/>
                <w:szCs w:val="19"/>
              </w:rPr>
              <w:t xml:space="preserve">Timeline / pathway</w:t>
            </w:r>
          </w:p>
        </w:tc>
      </w:tr>
      <w:tr>
        <w:tc>
          <w:tcPr>
            <w:tcW w:type="dxa" w:w="1900"/>
            <w:shd w:fill="E9F0FC" w:color="auto" w:val="clear"/>
            <w:tcMar>
              <w:top w:type="dxa" w:w="55"/>
              <w:left w:type="dxa" w:w="90"/>
              <w:bottom w:type="dxa" w:w="55"/>
              <w:right w:type="dxa" w:w="90"/>
            </w:tcMar>
            <w:vAlign w:val="center"/>
          </w:tcPr>
          <w:p>
            <w:r>
              <w:rPr>
                <w:rFonts w:ascii="Calibri" w:cs="Calibri" w:eastAsia="Calibri" w:hAnsi="Calibri"/>
                <w:b/>
                <w:bCs/>
                <w:color w:val="1E2761"/>
                <w:sz w:val="19"/>
                <w:szCs w:val="19"/>
              </w:rPr>
              <w:t xml:space="preserve">CERT-In</w:t>
            </w:r>
          </w:p>
        </w:tc>
        <w:tc>
          <w:tcPr>
            <w:tcW w:type="dxa" w:w="5180"/>
            <w:shd w:fill="E9F0FC" w:color="auto" w:val="clear"/>
            <w:tcMar>
              <w:top w:type="dxa" w:w="55"/>
              <w:left w:type="dxa" w:w="90"/>
              <w:bottom w:type="dxa" w:w="55"/>
              <w:right w:type="dxa" w:w="90"/>
            </w:tcMar>
            <w:vAlign w:val="center"/>
          </w:tcPr>
          <w:p>
            <w:r>
              <w:rPr>
                <w:rFonts w:ascii="Calibri" w:cs="Calibri" w:eastAsia="Calibri" w:hAnsi="Calibri"/>
                <w:color w:val="222222"/>
                <w:sz w:val="19"/>
                <w:szCs w:val="19"/>
              </w:rPr>
              <w:t xml:space="preserve">Report the cyber incident</w:t>
            </w:r>
          </w:p>
        </w:tc>
        <w:tc>
          <w:tcPr>
            <w:tcW w:type="dxa" w:w="3000"/>
            <w:shd w:fill="E9F0FC" w:color="auto" w:val="clear"/>
            <w:tcMar>
              <w:top w:type="dxa" w:w="55"/>
              <w:left w:type="dxa" w:w="90"/>
              <w:bottom w:type="dxa" w:w="55"/>
              <w:right w:type="dxa" w:w="90"/>
            </w:tcMar>
            <w:vAlign w:val="center"/>
          </w:tcPr>
          <w:p>
            <w:r>
              <w:rPr>
                <w:rFonts w:ascii="Calibri" w:cs="Calibri" w:eastAsia="Calibri" w:hAnsi="Calibri"/>
                <w:color w:val="222222"/>
                <w:sz w:val="19"/>
                <w:szCs w:val="19"/>
              </w:rPr>
              <w:t xml:space="preserve">Within six hours (MeitY format)</w:t>
            </w:r>
          </w:p>
        </w:tc>
      </w:tr>
      <w:tr>
        <w:tc>
          <w:tcPr>
            <w:tcW w:type="dxa" w:w="1900"/>
            <w:tcMar>
              <w:top w:type="dxa" w:w="55"/>
              <w:left w:type="dxa" w:w="90"/>
              <w:bottom w:type="dxa" w:w="55"/>
              <w:right w:type="dxa" w:w="90"/>
            </w:tcMar>
            <w:vAlign w:val="center"/>
          </w:tcPr>
          <w:p>
            <w:r>
              <w:rPr>
                <w:rFonts w:ascii="Calibri" w:cs="Calibri" w:eastAsia="Calibri" w:hAnsi="Calibri"/>
                <w:b/>
                <w:bCs/>
                <w:color w:val="1E2761"/>
                <w:sz w:val="19"/>
                <w:szCs w:val="19"/>
              </w:rPr>
              <w:t xml:space="preserve">RBI</w:t>
            </w:r>
          </w:p>
        </w:tc>
        <w:tc>
          <w:tcPr>
            <w:tcW w:type="dxa" w:w="5180"/>
            <w:tcMar>
              <w:top w:type="dxa" w:w="55"/>
              <w:left w:type="dxa" w:w="90"/>
              <w:bottom w:type="dxa" w:w="55"/>
              <w:right w:type="dxa" w:w="90"/>
            </w:tcMar>
            <w:vAlign w:val="center"/>
          </w:tcPr>
          <w:p>
            <w:r>
              <w:rPr>
                <w:rFonts w:ascii="Calibri" w:cs="Calibri" w:eastAsia="Calibri" w:hAnsi="Calibri"/>
                <w:color w:val="222222"/>
                <w:sz w:val="19"/>
                <w:szCs w:val="19"/>
              </w:rPr>
              <w:t xml:space="preserve">Operational-resilience escalation; model-risk &amp; outsourcing review</w:t>
            </w:r>
          </w:p>
        </w:tc>
        <w:tc>
          <w:tcPr>
            <w:tcW w:type="dxa" w:w="3000"/>
            <w:tcMar>
              <w:top w:type="dxa" w:w="55"/>
              <w:left w:type="dxa" w:w="90"/>
              <w:bottom w:type="dxa" w:w="55"/>
              <w:right w:type="dxa" w:w="90"/>
            </w:tcMar>
            <w:vAlign w:val="center"/>
          </w:tcPr>
          <w:p>
            <w:r>
              <w:rPr>
                <w:rFonts w:ascii="Calibri" w:cs="Calibri" w:eastAsia="Calibri" w:hAnsi="Calibri"/>
                <w:color w:val="222222"/>
                <w:sz w:val="19"/>
                <w:szCs w:val="19"/>
              </w:rPr>
              <w:t xml:space="preserve">Supervisory expectations</w:t>
            </w:r>
          </w:p>
        </w:tc>
      </w:tr>
      <w:tr>
        <w:tc>
          <w:tcPr>
            <w:tcW w:type="dxa" w:w="1900"/>
            <w:shd w:fill="E9F0FC" w:color="auto" w:val="clear"/>
            <w:tcMar>
              <w:top w:type="dxa" w:w="55"/>
              <w:left w:type="dxa" w:w="90"/>
              <w:bottom w:type="dxa" w:w="55"/>
              <w:right w:type="dxa" w:w="90"/>
            </w:tcMar>
            <w:vAlign w:val="center"/>
          </w:tcPr>
          <w:p>
            <w:r>
              <w:rPr>
                <w:rFonts w:ascii="Calibri" w:cs="Calibri" w:eastAsia="Calibri" w:hAnsi="Calibri"/>
                <w:b/>
                <w:bCs/>
                <w:color w:val="1E2761"/>
                <w:sz w:val="19"/>
                <w:szCs w:val="19"/>
              </w:rPr>
              <w:t xml:space="preserve">SEBI</w:t>
            </w:r>
          </w:p>
        </w:tc>
        <w:tc>
          <w:tcPr>
            <w:tcW w:type="dxa" w:w="5180"/>
            <w:shd w:fill="E9F0FC" w:color="auto" w:val="clear"/>
            <w:tcMar>
              <w:top w:type="dxa" w:w="55"/>
              <w:left w:type="dxa" w:w="90"/>
              <w:bottom w:type="dxa" w:w="55"/>
              <w:right w:type="dxa" w:w="90"/>
            </w:tcMar>
            <w:vAlign w:val="center"/>
          </w:tcPr>
          <w:p>
            <w:r>
              <w:rPr>
                <w:rFonts w:ascii="Calibri" w:cs="Calibri" w:eastAsia="Calibri" w:hAnsi="Calibri"/>
                <w:color w:val="222222"/>
                <w:sz w:val="19"/>
                <w:szCs w:val="19"/>
              </w:rPr>
              <w:t xml:space="preserve">Breach reporting for the broking arm; cyber-review to board</w:t>
            </w:r>
          </w:p>
        </w:tc>
        <w:tc>
          <w:tcPr>
            <w:tcW w:type="dxa" w:w="3000"/>
            <w:shd w:fill="E9F0FC" w:color="auto" w:val="clear"/>
            <w:tcMar>
              <w:top w:type="dxa" w:w="55"/>
              <w:left w:type="dxa" w:w="90"/>
              <w:bottom w:type="dxa" w:w="55"/>
              <w:right w:type="dxa" w:w="90"/>
            </w:tcMar>
            <w:vAlign w:val="center"/>
          </w:tcPr>
          <w:p>
            <w:r>
              <w:rPr>
                <w:rFonts w:ascii="Calibri" w:cs="Calibri" w:eastAsia="Calibri" w:hAnsi="Calibri"/>
                <w:color w:val="222222"/>
                <w:sz w:val="19"/>
                <w:szCs w:val="19"/>
              </w:rPr>
              <w:t xml:space="preserve">Capital-markets timeline</w:t>
            </w:r>
          </w:p>
        </w:tc>
      </w:tr>
      <w:tr>
        <w:tc>
          <w:tcPr>
            <w:tcW w:type="dxa" w:w="1900"/>
            <w:tcMar>
              <w:top w:type="dxa" w:w="55"/>
              <w:left w:type="dxa" w:w="90"/>
              <w:bottom w:type="dxa" w:w="55"/>
              <w:right w:type="dxa" w:w="90"/>
            </w:tcMar>
            <w:vAlign w:val="center"/>
          </w:tcPr>
          <w:p>
            <w:r>
              <w:rPr>
                <w:rFonts w:ascii="Calibri" w:cs="Calibri" w:eastAsia="Calibri" w:hAnsi="Calibri"/>
                <w:b/>
                <w:bCs/>
                <w:color w:val="1E2761"/>
                <w:sz w:val="19"/>
                <w:szCs w:val="19"/>
              </w:rPr>
              <w:t xml:space="preserve">DPDP</w:t>
            </w:r>
          </w:p>
        </w:tc>
        <w:tc>
          <w:tcPr>
            <w:tcW w:type="dxa" w:w="5180"/>
            <w:tcMar>
              <w:top w:type="dxa" w:w="55"/>
              <w:left w:type="dxa" w:w="90"/>
              <w:bottom w:type="dxa" w:w="55"/>
              <w:right w:type="dxa" w:w="90"/>
            </w:tcMar>
            <w:vAlign w:val="center"/>
          </w:tcPr>
          <w:p>
            <w:r>
              <w:rPr>
                <w:rFonts w:ascii="Calibri" w:cs="Calibri" w:eastAsia="Calibri" w:hAnsi="Calibri"/>
                <w:color w:val="222222"/>
                <w:sz w:val="19"/>
                <w:szCs w:val="19"/>
              </w:rPr>
              <w:t xml:space="preserve">Notify the Data Protection Board of the personal-data breach</w:t>
            </w:r>
          </w:p>
        </w:tc>
        <w:tc>
          <w:tcPr>
            <w:tcW w:type="dxa" w:w="3000"/>
            <w:tcMar>
              <w:top w:type="dxa" w:w="55"/>
              <w:left w:type="dxa" w:w="90"/>
              <w:bottom w:type="dxa" w:w="55"/>
              <w:right w:type="dxa" w:w="90"/>
            </w:tcMar>
            <w:vAlign w:val="center"/>
          </w:tcPr>
          <w:p>
            <w:r>
              <w:rPr>
                <w:rFonts w:ascii="Calibri" w:cs="Calibri" w:eastAsia="Calibri" w:hAnsi="Calibri"/>
                <w:color w:val="222222"/>
                <w:sz w:val="19"/>
                <w:szCs w:val="19"/>
              </w:rPr>
              <w:t xml:space="preserve">Separate statutory pathway</w:t>
            </w:r>
          </w:p>
        </w:tc>
      </w:tr>
    </w:tbl>
    <w:p>
      <w:pPr>
        <w:spacing w:after="120" w:before="100"/>
      </w:pPr>
      <w:r>
        <w:rPr>
          <w:rFonts w:ascii="Calibri" w:cs="Calibri" w:eastAsia="Calibri" w:hAnsi="Calibri"/>
          <w:b/>
          <w:bCs/>
          <w:color w:val="B87A1E"/>
          <w:sz w:val="21"/>
          <w:szCs w:val="21"/>
        </w:rPr>
        <w:t xml:space="preserve">Four notifications, four timelines, four formats — for a single event. The gap between the four is Governance Debt made concrete: either one protocol fires all four, or four teams discover the overlap under incident pressure.</w:t>
      </w:r>
    </w:p>
    <w:p>
      <w:r>
        <w:br w:type="page"/>
      </w:r>
    </w:p>
    <w:p>
      <w:pPr>
        <w:pStyle w:val="Heading1"/>
        <w:spacing w:after="120" w:before="240"/>
      </w:pPr>
      <w:r>
        <w:rPr>
          <w:rFonts w:ascii="Cambria" w:cs="Cambria" w:eastAsia="Cambria" w:hAnsi="Cambria"/>
          <w:b/>
          <w:bCs/>
          <w:color w:val="1E2761"/>
          <w:sz w:val="28"/>
          <w:szCs w:val="28"/>
        </w:rPr>
        <w:t xml:space="preserve">8.  What the board should do</w:t>
      </w:r>
    </w:p>
    <w:p>
      <w:pPr>
        <w:pStyle w:val="Heading2"/>
        <w:spacing w:after="80" w:before="200"/>
      </w:pPr>
      <w:r>
        <w:rPr>
          <w:rFonts w:ascii="Cambria" w:cs="Cambria" w:eastAsia="Cambria" w:hAnsi="Cambria"/>
          <w:b/>
          <w:bCs/>
          <w:color w:val="16203D"/>
          <w:sz w:val="24"/>
          <w:szCs w:val="24"/>
        </w:rPr>
        <w:t xml:space="preserve">Four governance moves</w:t>
      </w:r>
    </w:p>
    <w:p>
      <w:pPr>
        <w:pStyle w:val="ListParagraph"/>
        <w:numPr>
          <w:ilvl w:val="0"/>
          <w:numId w:val="2"/>
        </w:numPr>
        <w:spacing w:after="90" w:line="270"/>
      </w:pPr>
      <w:r>
        <w:rPr>
          <w:rFonts w:ascii="Calibri" w:cs="Calibri" w:eastAsia="Calibri" w:hAnsi="Calibri"/>
          <w:sz w:val="21"/>
          <w:szCs w:val="21"/>
        </w:rPr>
        <w:t xml:space="preserve">Adopt one DPIA that simultaneously serves DPDP, RBI and SEBI expectations, rather than three parallel assessments.</w:t>
      </w:r>
    </w:p>
    <w:p>
      <w:pPr>
        <w:pStyle w:val="ListParagraph"/>
        <w:numPr>
          <w:ilvl w:val="0"/>
          <w:numId w:val="2"/>
        </w:numPr>
        <w:spacing w:after="90" w:line="270"/>
      </w:pPr>
      <w:r>
        <w:rPr>
          <w:rFonts w:ascii="Calibri" w:cs="Calibri" w:eastAsia="Calibri" w:hAnsi="Calibri"/>
          <w:sz w:val="21"/>
          <w:szCs w:val="21"/>
        </w:rPr>
        <w:t xml:space="preserve">Stand up an integrated cyber-AI risk committee — a single board-level view, not separate cyber and AI reviews.</w:t>
      </w:r>
    </w:p>
    <w:p>
      <w:pPr>
        <w:pStyle w:val="ListParagraph"/>
        <w:numPr>
          <w:ilvl w:val="0"/>
          <w:numId w:val="2"/>
        </w:numPr>
        <w:spacing w:after="90" w:line="270"/>
      </w:pPr>
      <w:r>
        <w:rPr>
          <w:rFonts w:ascii="Calibri" w:cs="Calibri" w:eastAsia="Calibri" w:hAnsi="Calibri"/>
          <w:sz w:val="21"/>
          <w:szCs w:val="21"/>
        </w:rPr>
        <w:t xml:space="preserve">Build one incident-reporting protocol that fires CERT-In, RBI, SEBI and DPDP notifications together from a single trigger.</w:t>
      </w:r>
    </w:p>
    <w:p>
      <w:pPr>
        <w:pStyle w:val="ListParagraph"/>
        <w:numPr>
          <w:ilvl w:val="0"/>
          <w:numId w:val="2"/>
        </w:numPr>
        <w:spacing w:after="90" w:line="270"/>
      </w:pPr>
      <w:r>
        <w:rPr>
          <w:rFonts w:ascii="Calibri" w:cs="Calibri" w:eastAsia="Calibri" w:hAnsi="Calibri"/>
          <w:sz w:val="21"/>
          <w:szCs w:val="21"/>
        </w:rPr>
        <w:t xml:space="preserve">Map the parallelism exposure — inventory where mandates duplicate across your regulated entities, and quantify the resulting Governance Debt.</w:t>
      </w:r>
    </w:p>
    <w:p>
      <w:pPr>
        <w:pStyle w:val="Heading2"/>
        <w:spacing w:after="80" w:before="200"/>
      </w:pPr>
      <w:r>
        <w:rPr>
          <w:rFonts w:ascii="Cambria" w:cs="Cambria" w:eastAsia="Cambria" w:hAnsi="Cambria"/>
          <w:b/>
          <w:bCs/>
          <w:color w:val="16203D"/>
          <w:sz w:val="24"/>
          <w:szCs w:val="24"/>
        </w:rPr>
        <w:t xml:space="preserve">Three questions every board should ask management</w:t>
      </w:r>
    </w:p>
    <w:p>
      <w:pPr>
        <w:pStyle w:val="ListParagraph"/>
        <w:numPr>
          <w:ilvl w:val="0"/>
          <w:numId w:val="1"/>
        </w:numPr>
        <w:spacing w:after="70" w:line="270"/>
      </w:pPr>
      <w:r>
        <w:rPr>
          <w:rFonts w:ascii="Calibri" w:cs="Calibri" w:eastAsia="Calibri" w:hAnsi="Calibri"/>
          <w:b/>
          <w:bCs/>
          <w:color w:val="1E2761"/>
          <w:sz w:val="21"/>
          <w:szCs w:val="21"/>
        </w:rPr>
        <w:t xml:space="preserve">Q1.  </w:t>
      </w:r>
      <w:r>
        <w:rPr>
          <w:rFonts w:ascii="Calibri" w:cs="Calibri" w:eastAsia="Calibri" w:hAnsi="Calibri"/>
          <w:color w:val="222222"/>
          <w:sz w:val="21"/>
          <w:szCs w:val="21"/>
        </w:rPr>
        <w:t xml:space="preserve">For our AI systems, which obligations are duplicated across regulators — and what does that duplication cost us?</w:t>
      </w:r>
    </w:p>
    <w:p>
      <w:pPr>
        <w:pStyle w:val="ListParagraph"/>
        <w:numPr>
          <w:ilvl w:val="0"/>
          <w:numId w:val="1"/>
        </w:numPr>
        <w:spacing w:after="70" w:line="270"/>
      </w:pPr>
      <w:r>
        <w:rPr>
          <w:rFonts w:ascii="Calibri" w:cs="Calibri" w:eastAsia="Calibri" w:hAnsi="Calibri"/>
          <w:b/>
          <w:bCs/>
          <w:color w:val="1E2761"/>
          <w:sz w:val="21"/>
          <w:szCs w:val="21"/>
        </w:rPr>
        <w:t xml:space="preserve">Q2.  </w:t>
      </w:r>
      <w:r>
        <w:rPr>
          <w:rFonts w:ascii="Calibri" w:cs="Calibri" w:eastAsia="Calibri" w:hAnsi="Calibri"/>
          <w:color w:val="222222"/>
          <w:sz w:val="21"/>
          <w:szCs w:val="21"/>
        </w:rPr>
        <w:t xml:space="preserve">If one AI failure triggered all four regulators tomorrow, do we have a single protocol — or four scrambles?</w:t>
      </w:r>
    </w:p>
    <w:p>
      <w:pPr>
        <w:pStyle w:val="ListParagraph"/>
        <w:numPr>
          <w:ilvl w:val="0"/>
          <w:numId w:val="1"/>
        </w:numPr>
        <w:spacing w:after="70" w:line="270"/>
      </w:pPr>
      <w:r>
        <w:rPr>
          <w:rFonts w:ascii="Calibri" w:cs="Calibri" w:eastAsia="Calibri" w:hAnsi="Calibri"/>
          <w:b/>
          <w:bCs/>
          <w:color w:val="1E2761"/>
          <w:sz w:val="21"/>
          <w:szCs w:val="21"/>
        </w:rPr>
        <w:t xml:space="preserve">Q3.  </w:t>
      </w:r>
      <w:r>
        <w:rPr>
          <w:rFonts w:ascii="Calibri" w:cs="Calibri" w:eastAsia="Calibri" w:hAnsi="Calibri"/>
          <w:color w:val="222222"/>
          <w:sz w:val="21"/>
          <w:szCs w:val="21"/>
        </w:rPr>
        <w:t xml:space="preserve">Is our board cyber review and AI-risk review one integrated view, or two inconsistent narratives?</w:t>
      </w:r>
    </w:p>
    <w:p>
      <w:pPr>
        <w:pBdr>
          <w:bottom w:val="single" w:color="D6DEEB" w:sz="6"/>
        </w:pBdr>
        <w:spacing w:after="120" w:before="60"/>
      </w:pPr>
      <w:r>
        <w:rPr>
          <w:sz w:val="2"/>
          <w:szCs w:val="2"/>
        </w:rPr>
        <w:t xml:space="preserve"/>
      </w:r>
    </w:p>
    <w:p>
      <w:pPr>
        <w:pStyle w:val="Heading2"/>
        <w:spacing w:after="80" w:before="200"/>
      </w:pPr>
      <w:r>
        <w:rPr>
          <w:rFonts w:ascii="Cambria" w:cs="Cambria" w:eastAsia="Cambria" w:hAnsi="Cambria"/>
          <w:b/>
          <w:bCs/>
          <w:color w:val="16203D"/>
          <w:sz w:val="24"/>
          <w:szCs w:val="24"/>
        </w:rPr>
        <w:t xml:space="preserve">Figures to verify before external publication</w:t>
      </w:r>
    </w:p>
    <w:p>
      <w:pPr>
        <w:spacing w:after="120" w:line="276"/>
      </w:pPr>
      <w:r>
        <w:rPr>
          <w:rFonts w:ascii="Calibri" w:cs="Calibri" w:eastAsia="Calibri" w:hAnsi="Calibri"/>
          <w:color w:val="5A6684"/>
          <w:sz w:val="19"/>
          <w:szCs w:val="19"/>
        </w:rPr>
        <w:t xml:space="preserve">The following data points are drawn from secondary literature or pending primary-source confirmation and are flagged ⚠ in the briefing. The 23/40, 11-unit and 90% figures are from the author's own P3 corpus analysis and are robust; the items below should be confirmed before the deck or note is circulated externally.</w:t>
      </w:r>
    </w:p>
    <w:p>
      <w:pPr>
        <w:pStyle w:val="ListParagraph"/>
        <w:numPr>
          <w:ilvl w:val="0"/>
          <w:numId w:val="1"/>
        </w:numPr>
        <w:spacing w:after="70" w:line="270"/>
      </w:pPr>
      <w:r>
        <w:rPr>
          <w:rFonts w:ascii="Calibri" w:cs="Calibri" w:eastAsia="Calibri" w:hAnsi="Calibri"/>
          <w:color w:val="222222"/>
          <w:sz w:val="19"/>
          <w:szCs w:val="19"/>
        </w:rPr>
        <w:t xml:space="preserve">DPDP maximum penalty of ₹250 crore per violation category — confirm against the DPDP Act 2023 schedule.</w:t>
      </w:r>
    </w:p>
    <w:p>
      <w:pPr>
        <w:pStyle w:val="ListParagraph"/>
        <w:numPr>
          <w:ilvl w:val="0"/>
          <w:numId w:val="1"/>
        </w:numPr>
        <w:spacing w:after="70" w:line="270"/>
      </w:pPr>
      <w:r>
        <w:rPr>
          <w:rFonts w:ascii="Calibri" w:cs="Calibri" w:eastAsia="Calibri" w:hAnsi="Calibri"/>
          <w:color w:val="222222"/>
          <w:sz w:val="19"/>
          <w:szCs w:val="19"/>
        </w:rPr>
        <w:t xml:space="preserve">RBI FREE-AI issuance date (August 2025) and exact circular number — flagged for verification in the corpus index.</w:t>
      </w:r>
    </w:p>
    <w:p>
      <w:pPr>
        <w:pStyle w:val="ListParagraph"/>
        <w:numPr>
          <w:ilvl w:val="0"/>
          <w:numId w:val="1"/>
        </w:numPr>
        <w:spacing w:after="70" w:line="270"/>
      </w:pPr>
      <w:r>
        <w:rPr>
          <w:rFonts w:ascii="Calibri" w:cs="Calibri" w:eastAsia="Calibri" w:hAnsi="Calibri"/>
          <w:color w:val="222222"/>
          <w:sz w:val="19"/>
          <w:szCs w:val="19"/>
        </w:rPr>
        <w:t xml:space="preserve">RBI AIFI Outsourcing Directions compliance deadline (10 April 2026) — confirm against the notified directions.</w:t>
      </w:r>
    </w:p>
    <w:p>
      <w:pPr>
        <w:pStyle w:val="ListParagraph"/>
        <w:numPr>
          <w:ilvl w:val="0"/>
          <w:numId w:val="1"/>
        </w:numPr>
        <w:spacing w:after="70" w:line="270"/>
      </w:pPr>
      <w:r>
        <w:rPr>
          <w:rFonts w:ascii="Calibri" w:cs="Calibri" w:eastAsia="Calibri" w:hAnsi="Calibri"/>
          <w:color w:val="222222"/>
          <w:sz w:val="19"/>
          <w:szCs w:val="19"/>
        </w:rPr>
        <w:t xml:space="preserve">Compliance-cost figures (~23% of operating budget; 40–60% for dual-regulated entities) — cite the underlying compliance-cost studies.</w:t>
      </w:r>
    </w:p>
    <w:p>
      <w:pPr>
        <w:pBdr>
          <w:top w:val="single" w:color="D6DEEB" w:sz="6"/>
        </w:pBdr>
        <w:spacing w:before="200"/>
      </w:pPr>
      <w:r>
        <w:rPr>
          <w:rFonts w:ascii="Calibri" w:cs="Calibri" w:eastAsia="Calibri" w:hAnsi="Calibri"/>
          <w:i/>
          <w:iCs/>
          <w:color w:val="5A6684"/>
          <w:sz w:val="17"/>
          <w:szCs w:val="17"/>
        </w:rPr>
        <w:t xml:space="preserve">Prepared from the PRIS research vault (Personal Regulatory Intelligence System). Sources: BFSI_Governance, Cybersecurity_Governance, Privacy_DataProtection, Regulatory_Parallelism, Governance_Debt, RBI FREE-AI, CERT-In and RBI institution notes.  © Vivek Vaidyanathan,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2026-07-15T04:17:06.335Z</dcterms:created>
  <dcterms:modified xsi:type="dcterms:W3CDTF">2026-07-15T04:17:06.335Z</dcterms:modified>
</cp:coreProperties>
</file>

<file path=docProps/custom.xml><?xml version="1.0" encoding="utf-8"?>
<Properties xmlns="http://schemas.openxmlformats.org/officeDocument/2006/custom-properties" xmlns:vt="http://schemas.openxmlformats.org/officeDocument/2006/docPropsVTypes"/>
</file>