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E6" w:rsidRPr="00C701E6" w:rsidRDefault="00C701E6" w:rsidP="00C701E6">
      <w:pPr>
        <w:shd w:val="clear" w:color="auto" w:fill="FFFFFF"/>
        <w:spacing w:before="360"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6"/>
          <w:szCs w:val="36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6"/>
          <w:szCs w:val="36"/>
          <w:lang w:eastAsia="en-IN"/>
        </w:rPr>
        <w:t>Explore the Core AWS Services</w:t>
      </w: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Section Introduction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Section Introduction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Identity and Access Management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Identity and Access Management (IAM)</w:t>
      </w:r>
    </w:p>
    <w:p w:rsidR="00C701E6" w:rsidRPr="00C701E6" w:rsidRDefault="00C701E6" w:rsidP="00C701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Storage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1: Simple Storage Service (S3) 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2: Glacier</w:t>
      </w:r>
    </w:p>
    <w:p w:rsidR="00C701E6" w:rsidRPr="00C701E6" w:rsidRDefault="00C701E6" w:rsidP="00C701E6">
      <w:pPr>
        <w:spacing w:before="300" w:after="30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bdr w:val="single" w:sz="6" w:space="9" w:color="1BB398" w:frame="1"/>
          <w:shd w:val="clear" w:color="auto" w:fill="F6FFFD"/>
          <w:lang w:eastAsia="en-IN"/>
        </w:rPr>
      </w:pP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"https://app.linuxacademy.com/hands-on-labs/08b60392-47d4-4604-b931-4424ccffbafe?redirect_uri=https://linuxacademy.com/cp/modules/view/id/154" </w:instrText>
      </w: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Networking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Virtual Private Cloud (VPC), Network Access Control (NACL), and Security Groups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Compute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1: Elastic Compute Cloud (EC2)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2: Lambda (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Serverless</w:t>
      </w:r>
      <w:proofErr w:type="spellEnd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Elastic Load Balancing and Auto Scaling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1: Elastic Load Balancing (ELB)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2: Auto Scaling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Content Delivery and DNS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Part 1: Route 53 (Domain and DNS Management)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2: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CloudFront</w:t>
      </w:r>
      <w:proofErr w:type="spellEnd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 (Content Delivery Network)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"https://linuxacademy.com/cp/quiz/start/quiz/547/module/154" </w:instrText>
      </w: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1E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Monitoring and Logging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1: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CloudWatch</w:t>
      </w:r>
      <w:proofErr w:type="spellEnd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 (Monitoring and Metrics)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2: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CloudTrail</w:t>
      </w:r>
      <w:proofErr w:type="spellEnd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 (Logging)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Notification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Simple Notification Service (SNS)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Database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1: Relation Database Service (RDS) and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DynamoDB</w:t>
      </w:r>
      <w:proofErr w:type="spellEnd"/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Part 2: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ElastiCache</w:t>
      </w:r>
      <w:proofErr w:type="spellEnd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 xml:space="preserve"> and </w:t>
      </w:r>
      <w:proofErr w:type="spellStart"/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RedShift</w:t>
      </w:r>
      <w:proofErr w:type="spellEnd"/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Section Conclusion &amp; Summary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Core Services Conclusion and Summary</w:t>
      </w:r>
    </w:p>
    <w:p w:rsid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Default="00C701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01E6" w:rsidRPr="00C701E6" w:rsidRDefault="00C701E6" w:rsidP="00C701E6">
      <w:pPr>
        <w:shd w:val="clear" w:color="auto" w:fill="FFFFFF"/>
        <w:spacing w:before="360"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6"/>
          <w:szCs w:val="36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6"/>
          <w:szCs w:val="36"/>
          <w:lang w:eastAsia="en-IN"/>
        </w:rPr>
        <w:t>AWS Billing and Support Services</w:t>
      </w:r>
    </w:p>
    <w:p w:rsidR="00C701E6" w:rsidRPr="00C701E6" w:rsidRDefault="00C701E6" w:rsidP="00C701E6">
      <w:pPr>
        <w:pBdr>
          <w:bottom w:val="single" w:sz="6" w:space="5" w:color="CCCCCC"/>
        </w:pBdr>
        <w:shd w:val="clear" w:color="auto" w:fill="FFFFFF"/>
        <w:spacing w:after="180" w:line="240" w:lineRule="atLeast"/>
        <w:outlineLvl w:val="2"/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</w:pPr>
      <w:r w:rsidRPr="00C701E6">
        <w:rPr>
          <w:rFonts w:ascii="Helvetica" w:eastAsia="Times New Roman" w:hAnsi="Helvetica" w:cs="Helvetica"/>
          <w:b/>
          <w:bCs/>
          <w:color w:val="29485B"/>
          <w:sz w:val="30"/>
          <w:szCs w:val="30"/>
          <w:lang w:eastAsia="en-IN"/>
        </w:rPr>
        <w:t>Managing AWS Pricing, Billing, and Support Services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7"/>
          <w:szCs w:val="27"/>
          <w:shd w:val="clear" w:color="auto" w:fill="FFFFFF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Section Introduction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Organizations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Pricing Model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Billing and Cost Tools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Shared Responsibility Model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Support Plans and Trusted Advisor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29485B"/>
          <w:sz w:val="24"/>
          <w:szCs w:val="24"/>
          <w:lang w:eastAsia="en-IN"/>
        </w:rPr>
      </w:pPr>
    </w:p>
    <w:p w:rsidR="00C701E6" w:rsidRPr="00C701E6" w:rsidRDefault="00C701E6" w:rsidP="00C701E6">
      <w:pPr>
        <w:spacing w:after="0" w:line="360" w:lineRule="atLeast"/>
        <w:outlineLvl w:val="5"/>
        <w:rPr>
          <w:rFonts w:ascii="inherit" w:eastAsia="Times New Roman" w:hAnsi="inherit" w:cs="Times New Roman"/>
          <w:sz w:val="15"/>
          <w:szCs w:val="15"/>
          <w:lang w:eastAsia="en-IN"/>
        </w:rPr>
      </w:pPr>
      <w:r w:rsidRPr="00C701E6">
        <w:rPr>
          <w:rFonts w:ascii="inherit" w:eastAsia="Times New Roman" w:hAnsi="inherit" w:cs="Helvetica"/>
          <w:color w:val="29485B"/>
          <w:sz w:val="27"/>
          <w:szCs w:val="27"/>
          <w:shd w:val="clear" w:color="auto" w:fill="FFFFFF"/>
          <w:lang w:eastAsia="en-IN"/>
        </w:rPr>
        <w:t>AWS Whitepapers and Documentation</w:t>
      </w:r>
    </w:p>
    <w:p w:rsidR="00C701E6" w:rsidRPr="00C701E6" w:rsidRDefault="00C701E6" w:rsidP="00C701E6">
      <w:pPr>
        <w:spacing w:after="0" w:line="240" w:lineRule="auto"/>
        <w:rPr>
          <w:rFonts w:ascii="Times New Roman" w:eastAsia="Times New Roman" w:hAnsi="Times New Roman" w:cs="Times New Roman"/>
          <w:color w:val="1BB398"/>
          <w:sz w:val="24"/>
          <w:szCs w:val="24"/>
          <w:lang w:eastAsia="en-IN"/>
        </w:rPr>
      </w:pPr>
    </w:p>
    <w:p w:rsidR="00BB3C70" w:rsidRDefault="00BB3C70" w:rsidP="00C701E6">
      <w:bookmarkStart w:id="0" w:name="_GoBack"/>
      <w:bookmarkEnd w:id="0"/>
    </w:p>
    <w:sectPr w:rsidR="00BB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E6"/>
    <w:rsid w:val="00426225"/>
    <w:rsid w:val="004C5ECF"/>
    <w:rsid w:val="0092046B"/>
    <w:rsid w:val="00BB3C70"/>
    <w:rsid w:val="00C701E6"/>
    <w:rsid w:val="00D12E9B"/>
    <w:rsid w:val="00D70E90"/>
    <w:rsid w:val="00E54AA8"/>
    <w:rsid w:val="00FB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71BB7-56B2-4909-8B54-F03400D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0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701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1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701E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01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1E6"/>
    <w:rPr>
      <w:b/>
      <w:bCs/>
    </w:rPr>
  </w:style>
  <w:style w:type="character" w:customStyle="1" w:styleId="apple-converted-space">
    <w:name w:val="apple-converted-space"/>
    <w:basedOn w:val="DefaultParagraphFont"/>
    <w:rsid w:val="00C7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9</cp:revision>
  <dcterms:created xsi:type="dcterms:W3CDTF">2019-07-25T15:27:00Z</dcterms:created>
  <dcterms:modified xsi:type="dcterms:W3CDTF">2019-07-30T14:44:00Z</dcterms:modified>
</cp:coreProperties>
</file>