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9E593" w14:textId="704D5AA7" w:rsidR="007907A0" w:rsidRPr="006E186D" w:rsidRDefault="007907A0">
      <w:pPr>
        <w:spacing w:line="360" w:lineRule="auto"/>
      </w:pPr>
    </w:p>
    <w:p w14:paraId="43091ED4" w14:textId="77777777" w:rsidR="007907A0" w:rsidRPr="006E186D" w:rsidRDefault="00D4123E">
      <w:pPr>
        <w:spacing w:line="360" w:lineRule="auto"/>
        <w:jc w:val="center"/>
      </w:pPr>
      <w:r>
        <w:rPr>
          <w:b/>
          <w:bCs/>
        </w:rPr>
        <w:t>Segmentación de Clientes mediante Técnicas de Clustering y Deep Learning</w:t>
      </w:r>
    </w:p>
    <w:p w14:paraId="4FF0908B" w14:textId="77777777" w:rsidR="007907A0" w:rsidRPr="006E186D" w:rsidRDefault="00D4123E">
      <w:pPr>
        <w:spacing w:line="360" w:lineRule="auto"/>
        <w:jc w:val="center"/>
      </w:pPr>
      <w:r>
        <w:rPr>
          <w:b/>
          <w:bCs/>
        </w:rPr>
        <w:t>para Estrategias de Marketing Digital en Comercio Electrónico</w:t>
      </w:r>
    </w:p>
    <w:p w14:paraId="4408200E" w14:textId="5B99454D" w:rsidR="007907A0" w:rsidRPr="006E186D" w:rsidRDefault="00D4123E">
      <w:pPr>
        <w:spacing w:line="360" w:lineRule="auto"/>
      </w:pPr>
      <w:r>
        <w:t xml:space="preserve"> </w:t>
      </w:r>
    </w:p>
    <w:p w14:paraId="06C28D29" w14:textId="77777777" w:rsidR="007907A0" w:rsidRPr="006E186D" w:rsidRDefault="00D4123E">
      <w:pPr>
        <w:spacing w:line="360" w:lineRule="auto"/>
      </w:pPr>
      <w:r>
        <w:t xml:space="preserve"> </w:t>
      </w:r>
    </w:p>
    <w:p w14:paraId="70AE09BA" w14:textId="70BFA314" w:rsidR="007907A0" w:rsidRPr="006E186D" w:rsidRDefault="00D4123E">
      <w:pPr>
        <w:spacing w:line="360" w:lineRule="auto"/>
        <w:jc w:val="center"/>
      </w:pPr>
      <w:r>
        <w:t xml:space="preserve">Autor: Yaneth Viviana Pechene Cuchumbe</w:t>
      </w:r>
    </w:p>
    <w:p w14:paraId="4B093AA3" w14:textId="2BD6F3A2" w:rsidR="007907A0" w:rsidRPr="006E186D" w:rsidRDefault="00D4123E">
      <w:pPr>
        <w:spacing w:line="360" w:lineRule="auto"/>
      </w:pPr>
      <w:r>
        <w:t xml:space="preserve"> </w:t>
        <w:br/>
      </w:r>
    </w:p>
    <w:p w14:paraId="3C1B6EEF" w14:textId="77777777" w:rsidR="007907A0" w:rsidRPr="006E186D" w:rsidRDefault="00D4123E">
      <w:pPr>
        <w:pStyle w:val="Ttulo1"/>
      </w:pPr>
      <w:r>
        <w:t>1. INTRODUCCIÓN</w:t>
      </w:r>
    </w:p>
    <w:p w14:paraId="037B9A00" w14:textId="77777777" w:rsidR="007907A0" w:rsidRPr="006E186D" w:rsidRDefault="00D4123E">
      <w:pPr>
        <w:spacing w:line="360" w:lineRule="auto"/>
      </w:pPr>
      <w:r>
        <w:t xml:space="preserve"> </w:t>
      </w:r>
    </w:p>
    <w:p w14:paraId="37CF96F1" w14:textId="72188692" w:rsidR="007907A0" w:rsidRPr="006E186D" w:rsidRDefault="00D4123E">
      <w:pPr>
        <w:spacing w:line="360" w:lineRule="auto"/>
        <w:jc w:val="both"/>
      </w:pPr>
      <w:r>
        <w:t xml:space="preserve">El comercio electrónico crece rápido y cambia la forma en que las empresas se comunican con los consumidores. Cada día se generan muchos datos de compras y estos pueden dar una ventaja importante a las empresas. Cuando las empresas usan esta información para entender el comportamiento de sus clientes y adaptar sus campañas, mejoran la retención, la conversión y la rentabilidad (Chen et al., 2012). Sin embargo, la mayoría de los comercios en línea siguen enviando el mismo mensaje a todos sus clientes y no aprovechan la información que tienen en sus registros de compra.</w:t>
      </w:r>
    </w:p>
    <w:p w14:paraId="31DE6415" w14:textId="77777777" w:rsidR="007907A0" w:rsidRPr="006E186D" w:rsidRDefault="00D4123E">
      <w:pPr>
        <w:spacing w:line="360" w:lineRule="auto"/>
      </w:pPr>
      <w:r>
        <w:t xml:space="preserve"> </w:t>
      </w:r>
    </w:p>
    <w:p w14:paraId="3BB24CE0" w14:textId="76D726A5" w:rsidR="007907A0" w:rsidRPr="006E186D" w:rsidRDefault="00D4123E">
      <w:pPr>
        <w:spacing w:line="360" w:lineRule="auto"/>
        <w:jc w:val="both"/>
      </w:pPr>
      <w:r>
        <w:t xml:space="preserve">El problema principal de esta investigación es la gran variedad de comportamientos que existen entre los clientes de un comercio electrónico en línea. Cuando una empresa usa una única estrategia de marketing, pierde la oportunidad de fidelizar a los clientes de mayor valor y gasta recursos en clientes con bajo potencial o con alta probabilidad de abandono. La pregunta que guía este estudio es: ¿cómo pueden las técnicas de minería de datos y de aprendizaje automático ayudar a identificar perfiles de comportamiento de cliente que sirvan para diseñar estrategias de marketing personalizadas en comercio electrónico? Este problema es importante porque retener a un cliente cuesta entre cinco y siete veces menos que adquirir uno nuevo (Fader et al., 2005). Por eso, identificar con precisión los segmentos de clientes en riesgo de abandono genera un retorno económico directo y medible.</w:t>
      </w:r>
    </w:p>
    <w:p w14:paraId="423BFFA5" w14:textId="77777777" w:rsidR="007907A0" w:rsidRPr="006E186D" w:rsidRDefault="00D4123E">
      <w:pPr>
        <w:spacing w:line="360" w:lineRule="auto"/>
      </w:pPr>
      <w:r>
        <w:t xml:space="preserve"> </w:t>
      </w:r>
    </w:p>
    <w:p w14:paraId="12CB47B8" w14:textId="346B8E39" w:rsidR="007907A0" w:rsidRPr="006E186D" w:rsidRDefault="00D4123E">
      <w:pPr>
        <w:spacing w:line="360" w:lineRule="auto"/>
        <w:jc w:val="both"/>
      </w:pPr>
      <w:r>
        <w:t xml:space="preserve">Diversas investigaciones han estudiado la segmentación de clientes con técnicas cuantitativas. Hughes (1994) propuso el modelo RFM (</w:t>
      </w:r>
      <w:r>
        <w:rPr>
          <w:i/>
          <w:iCs/>
        </w:rPr>
        <w:t>Recency</w:t>
      </w:r>
      <w:r>
        <w:t xml:space="preserve">, </w:t>
      </w:r>
      <w:r>
        <w:rPr>
          <w:i/>
          <w:iCs/>
        </w:rPr>
        <w:t>Frequency</w:t>
      </w:r>
      <w:r>
        <w:t xml:space="preserve">, </w:t>
      </w:r>
      <w:r>
        <w:rPr>
          <w:i/>
          <w:iCs/>
        </w:rPr>
        <w:t>Monetary</w:t>
      </w:r>
      <w:r>
        <w:t xml:space="preserve">) para identificar clientes con mayor probabilidad de respuesta en marketing directo. Fader et al. (2005) ampliaron el modelo RFM al valor del ciclo de vida del cliente (CLV) y mostraron que las tres dimensiones permiten crear segmentos rentables. Chen et al. (2012) usaron RFM en un e-commerce similar </w:t>
        <w:lastRenderedPageBreak/>
        <w:t xml:space="preserve">al presente estudio y concluyeron que combinar RFM con minería de datos produce segmentos con mayor poder discriminante que los enfoques demográficos. En el área del clustering, MacQueen (1967) formalizó </w:t>
      </w:r>
      <w:r>
        <w:rPr>
          <w:i/>
          <w:iCs/>
        </w:rPr>
        <w:t>K-Means</w:t>
      </w:r>
      <w:r>
        <w:t xml:space="preserve"> como algoritmo de referencia. Ester et al. (1996) desarrollaron DBSCAN para detectar </w:t>
      </w:r>
      <w:r>
        <w:rPr>
          <w:i/>
          <w:iCs/>
        </w:rPr>
        <w:t>outliers</w:t>
      </w:r>
      <w:r>
        <w:t xml:space="preserve"> automáticamente. McLachlan y Peel (2000) describieron los Modelos de Mezcla Gaussiana (GMM) como alternativa probabilística. Más recientemente, Hinton y Salakhutdinov (2006) demostraron que los </w:t>
      </w:r>
      <w:r>
        <w:rPr>
          <w:i/>
          <w:iCs/>
        </w:rPr>
        <w:t>Autoencoders</w:t>
      </w:r>
      <w:r>
        <w:t xml:space="preserve"> generan representaciones latentes mejores que las técnicas lineales para datos complejos. Xie et al. (2016) formalizaron el marco </w:t>
      </w:r>
      <w:r>
        <w:rPr>
          <w:i/>
          <w:iCs/>
        </w:rPr>
        <w:t>Deep Embedded Clustering</w:t>
      </w:r>
      <w:r>
        <w:t xml:space="preserve"> (DEC), que optimiza simultáneamente la representación y la coherencia de los clusters en el espacio latente.</w:t>
      </w:r>
    </w:p>
    <w:p w14:paraId="1B8B0B1A" w14:textId="77777777" w:rsidR="007907A0" w:rsidRPr="006E186D" w:rsidRDefault="00D4123E">
      <w:pPr>
        <w:spacing w:line="360" w:lineRule="auto"/>
      </w:pPr>
      <w:r>
        <w:t xml:space="preserve"> </w:t>
      </w:r>
    </w:p>
    <w:p w14:paraId="1244A160" w14:textId="580975AB" w:rsidR="007907A0" w:rsidRDefault="00D4123E" w:rsidP="006E186D">
      <w:pPr>
        <w:spacing w:line="360" w:lineRule="auto"/>
        <w:jc w:val="both"/>
      </w:pPr>
      <w:r>
        <w:t xml:space="preserve">El objetivo general de este trabajo es usar técnicas de minería de datos y de aprendizaje automático para segmentar el comportamiento de los clientes en un conjunto de datos de comercio electrónico. Para ello, se plantearon tres objetivos específicos: i. Caracterizar los datos transaccionales construyendo variables RFM (Recencia, Frecuencia y Valor Monetario). Las variables RFM sirvieron como base para el análisis del comportamiento de los clientes; ii. Comparar los segmentos obtenidos con los algoritmos de clustering K-Means, DBSCAN y GMM. En comparación se usaron las técnicas de reducción de dimensionalidad como PCA y t-SNE y también la representación con un Autoencoder de aprendizaje profundo; y iii. Interpretar los segmentos identificados a partir de su relación con las estrategias de marketing digital personalizadas.</w:t>
      </w:r>
    </w:p>
    <w:p w14:paraId="223C75A5" w14:textId="77777777" w:rsidR="009E0221" w:rsidRPr="006E186D" w:rsidRDefault="009E0221" w:rsidP="006E186D">
      <w:pPr>
        <w:spacing w:line="360" w:lineRule="auto"/>
        <w:jc w:val="both"/>
      </w:pPr>
    </w:p>
    <w:p w14:paraId="6DEF9D04" w14:textId="77777777" w:rsidR="007907A0" w:rsidRPr="006E186D" w:rsidRDefault="00D4123E" w:rsidP="006E186D">
      <w:pPr>
        <w:pStyle w:val="Ttulo1"/>
        <w:spacing w:line="480" w:lineRule="auto"/>
      </w:pPr>
      <w:r>
        <w:t>2. METODOLOGÍA</w:t>
      </w:r>
    </w:p>
    <w:p w14:paraId="1C6784B0" w14:textId="77777777" w:rsidR="007907A0" w:rsidRPr="006E186D" w:rsidRDefault="00D4123E">
      <w:pPr>
        <w:spacing w:line="360" w:lineRule="auto"/>
      </w:pPr>
      <w:r>
        <w:t xml:space="preserve"> </w:t>
      </w:r>
    </w:p>
    <w:p w14:paraId="4A5A0C82" w14:textId="77777777" w:rsidR="007907A0" w:rsidRPr="006E186D" w:rsidRDefault="00D4123E">
      <w:pPr>
        <w:pStyle w:val="Ttulo2"/>
      </w:pPr>
      <w:r>
        <w:t>2.1 Enfoque metodológico</w:t>
      </w:r>
    </w:p>
    <w:p w14:paraId="7B9EB662" w14:textId="77777777" w:rsidR="007907A0" w:rsidRPr="006E186D" w:rsidRDefault="00D4123E">
      <w:pPr>
        <w:spacing w:line="360" w:lineRule="auto"/>
      </w:pPr>
      <w:r>
        <w:t xml:space="preserve"> </w:t>
      </w:r>
    </w:p>
    <w:p w14:paraId="3C48CA02" w14:textId="5B523D9C" w:rsidR="00246CFF" w:rsidRDefault="00246CFF" w:rsidP="00246CFF">
      <w:pPr>
        <w:spacing w:line="360" w:lineRule="auto"/>
        <w:jc w:val="both"/>
      </w:pPr>
      <w:r>
        <w:t>La investigación se desarrolló bajo la metodología CRISP-DM (Cross-Industry Standard Process for Data Mining), adaptada al problema de segmentación de clientes. El proceso comprende seis fases: comprensión del negocio, comprensión de los datos, preparación de los datos, modelado, evaluación y despliegue.</w:t>
      </w:r>
    </w:p>
    <w:p w14:paraId="4F7A88A4" w14:textId="77777777" w:rsidR="00246CFF" w:rsidRDefault="00246CFF" w:rsidP="00246CFF">
      <w:pPr>
        <w:spacing w:line="360" w:lineRule="auto"/>
        <w:jc w:val="both"/>
      </w:pPr>
    </w:p>
    <w:p w14:paraId="145D7E89" w14:textId="4990FB72" w:rsidR="007907A0" w:rsidRPr="006E186D" w:rsidRDefault="00246CFF" w:rsidP="00246CFF">
      <w:pPr>
        <w:spacing w:line="360" w:lineRule="auto"/>
        <w:jc w:val="both"/>
      </w:pPr>
      <w:r>
        <w:t>En este estudio, estas fases se reflejaron en la definición del problema de marketing, exploración y limpieza del dataset, construcción de variables RFM, aplicación de técnicas de clustering y aprendizaje profundo, evaluación de los modelos e interpretación de los segmentos para su aplicación en estrategias de marketing digital.</w:t>
      </w:r>
    </w:p>
    <w:p w14:paraId="61CC1733" w14:textId="77777777" w:rsidR="007907A0" w:rsidRPr="006E186D" w:rsidRDefault="00D4123E">
      <w:pPr>
        <w:pStyle w:val="Ttulo2"/>
      </w:pPr>
      <w:r>
        <w:lastRenderedPageBreak/>
        <w:t>2.2 Descripción de los datos</w:t>
      </w:r>
    </w:p>
    <w:p w14:paraId="6DA2D9AA" w14:textId="77777777" w:rsidR="007907A0" w:rsidRPr="006E186D" w:rsidRDefault="00D4123E">
      <w:pPr>
        <w:spacing w:line="360" w:lineRule="auto"/>
      </w:pPr>
      <w:r>
        <w:t xml:space="preserve"> </w:t>
      </w:r>
    </w:p>
    <w:p w14:paraId="1B853C4E" w14:textId="192BA3AC" w:rsidR="007907A0" w:rsidRPr="006E186D" w:rsidRDefault="00D4123E">
      <w:pPr>
        <w:spacing w:line="360" w:lineRule="auto"/>
        <w:jc w:val="both"/>
      </w:pPr>
      <w:r>
        <w:t xml:space="preserve">El conjunto de datos usado es el </w:t>
      </w:r>
      <w:r>
        <w:rPr>
          <w:i/>
          <w:iCs/>
        </w:rPr>
        <w:t>Online Retail Dataset</w:t>
      </w:r>
      <w:r>
        <w:t xml:space="preserve">. Este es un recurso público que se usa ampliamente en investigaciones de minería de datos aplicada al comercio electrónico (Chen et al., 2012). El </w:t>
      </w:r>
      <w:r>
        <w:rPr>
          <w:i/>
          <w:iCs/>
        </w:rPr>
        <w:t>dataset</w:t>
      </w:r>
      <w:r>
        <w:t xml:space="preserve"> tiene 541 909 registros transaccionales de un minorista en línea del Reino Unido entre diciembre de 2010 y diciembre de 2011. La Tabla 1 describe las variables del dataset.</w:t>
      </w:r>
    </w:p>
    <w:p w14:paraId="61674564" w14:textId="77777777" w:rsidR="007907A0" w:rsidRPr="006E186D" w:rsidRDefault="00D4123E">
      <w:pPr>
        <w:spacing w:line="360" w:lineRule="auto"/>
      </w:pPr>
      <w:r>
        <w:t xml:space="preserve"> </w:t>
      </w:r>
    </w:p>
    <w:p w14:paraId="51DDEAFD" w14:textId="77777777" w:rsidR="007907A0" w:rsidRPr="006E186D" w:rsidRDefault="00D4123E">
      <w:pPr>
        <w:spacing w:line="360" w:lineRule="auto"/>
        <w:jc w:val="center"/>
      </w:pPr>
      <w:r>
        <w:rPr>
          <w:b/>
          <w:bCs/>
        </w:rPr>
        <w:t>Tabla 1. Descripción de las variables del dataset Online Retail</w:t>
      </w:r>
    </w:p>
    <w:p w14:paraId="498CC7B2" w14:textId="77777777" w:rsidR="007907A0" w:rsidRPr="006E186D" w:rsidRDefault="00D4123E">
      <w:pPr>
        <w:spacing w:line="360" w:lineRule="auto"/>
      </w:pPr>
      <w:r>
        <w:t xml:space="preserve"> </w:t>
      </w:r>
    </w:p>
    <w:tbl>
      <w:tblPr>
        <w:tblStyle w:val="Tablaconcuadrcula"/>
        <w:tblW w:w="9072" w:type="dxa"/>
        <w:tblLook w:val="0000" w:firstRow="0" w:lastRow="0" w:firstColumn="0" w:lastColumn="0" w:noHBand="0" w:noVBand="0"/>
      </w:tblPr>
      <w:tblGrid>
        <w:gridCol w:w="1784"/>
        <w:gridCol w:w="1329"/>
        <w:gridCol w:w="3426"/>
        <w:gridCol w:w="2533"/>
      </w:tblGrid>
      <w:tr w:rsidR="007907A0" w:rsidRPr="006E186D" w14:paraId="58CADED3" w14:textId="77777777" w:rsidTr="006E186D">
        <w:tc>
          <w:tcPr>
            <w:tcW w:w="1800" w:type="dxa"/>
          </w:tcPr>
          <w:p w14:paraId="38D5E50F" w14:textId="77777777" w:rsidR="007907A0" w:rsidRPr="006E186D" w:rsidRDefault="00D4123E">
            <w:pPr>
              <w:spacing w:before="40" w:after="40"/>
              <w:jc w:val="center"/>
            </w:pPr>
            <w:r>
              <w:rPr>
                <w:b/>
                <w:bCs/>
              </w:rPr>
              <w:t>Variable</w:t>
            </w:r>
          </w:p>
        </w:tc>
        <w:tc>
          <w:tcPr>
            <w:tcW w:w="1200" w:type="dxa"/>
          </w:tcPr>
          <w:p w14:paraId="00C151C9" w14:textId="77777777" w:rsidR="007907A0" w:rsidRPr="006E186D" w:rsidRDefault="00D4123E">
            <w:pPr>
              <w:spacing w:before="40" w:after="40"/>
              <w:jc w:val="center"/>
            </w:pPr>
            <w:r>
              <w:rPr>
                <w:b/>
                <w:bCs/>
              </w:rPr>
              <w:t>Tipo</w:t>
            </w:r>
          </w:p>
        </w:tc>
        <w:tc>
          <w:tcPr>
            <w:tcW w:w="3500" w:type="dxa"/>
          </w:tcPr>
          <w:p w14:paraId="136B3DA0" w14:textId="77777777" w:rsidR="007907A0" w:rsidRPr="006E186D" w:rsidRDefault="00D4123E">
            <w:pPr>
              <w:spacing w:before="40" w:after="40"/>
              <w:jc w:val="center"/>
            </w:pPr>
            <w:r>
              <w:rPr>
                <w:b/>
                <w:bCs/>
              </w:rPr>
              <w:t>Descripción</w:t>
            </w:r>
          </w:p>
        </w:tc>
        <w:tc>
          <w:tcPr>
            <w:tcW w:w="2572" w:type="dxa"/>
          </w:tcPr>
          <w:p w14:paraId="1427E00C" w14:textId="77777777" w:rsidR="007907A0" w:rsidRPr="006E186D" w:rsidRDefault="00D4123E">
            <w:pPr>
              <w:spacing w:before="40" w:after="40"/>
              <w:jc w:val="center"/>
            </w:pPr>
            <w:r>
              <w:rPr>
                <w:b/>
                <w:bCs/>
              </w:rPr>
              <w:t>Rol en el análisis</w:t>
            </w:r>
          </w:p>
        </w:tc>
      </w:tr>
      <w:tr w:rsidR="007907A0" w:rsidRPr="006E186D" w14:paraId="7743F6FC" w14:textId="77777777" w:rsidTr="006E186D">
        <w:tc>
          <w:tcPr>
            <w:tcW w:w="1800" w:type="dxa"/>
          </w:tcPr>
          <w:p w14:paraId="79D31828" w14:textId="77777777" w:rsidR="007907A0" w:rsidRPr="006E186D" w:rsidRDefault="00D4123E">
            <w:pPr>
              <w:spacing w:before="40" w:after="40"/>
            </w:pPr>
            <w:r>
              <w:t>InvoiceNo</w:t>
            </w:r>
          </w:p>
        </w:tc>
        <w:tc>
          <w:tcPr>
            <w:tcW w:w="1200" w:type="dxa"/>
          </w:tcPr>
          <w:p w14:paraId="3252B469" w14:textId="77777777" w:rsidR="007907A0" w:rsidRPr="006E186D" w:rsidRDefault="00D4123E">
            <w:pPr>
              <w:spacing w:before="40" w:after="40"/>
              <w:jc w:val="center"/>
            </w:pPr>
            <w:r>
              <w:t>Categórica</w:t>
            </w:r>
          </w:p>
        </w:tc>
        <w:tc>
          <w:tcPr>
            <w:tcW w:w="3500" w:type="dxa"/>
          </w:tcPr>
          <w:p w14:paraId="29DFFFFB" w14:textId="77777777" w:rsidR="007907A0" w:rsidRPr="006E186D" w:rsidRDefault="00D4123E">
            <w:pPr>
              <w:spacing w:before="40" w:after="40"/>
              <w:jc w:val="center"/>
            </w:pPr>
            <w:r>
              <w:t>Identificador de factura (prefijo 'C' = cancelación)</w:t>
            </w:r>
          </w:p>
        </w:tc>
        <w:tc>
          <w:tcPr>
            <w:tcW w:w="2572" w:type="dxa"/>
          </w:tcPr>
          <w:p w14:paraId="116BFFE0" w14:textId="77777777" w:rsidR="007907A0" w:rsidRPr="006E186D" w:rsidRDefault="00D4123E">
            <w:pPr>
              <w:spacing w:before="40" w:after="40"/>
              <w:jc w:val="center"/>
            </w:pPr>
            <w:r>
              <w:t>Filtrado</w:t>
            </w:r>
          </w:p>
        </w:tc>
      </w:tr>
      <w:tr w:rsidR="007907A0" w:rsidRPr="006E186D" w14:paraId="365A7CED" w14:textId="77777777" w:rsidTr="006E186D">
        <w:tc>
          <w:tcPr>
            <w:tcW w:w="1800" w:type="dxa"/>
          </w:tcPr>
          <w:p w14:paraId="05670DBF" w14:textId="77777777" w:rsidR="007907A0" w:rsidRPr="006E186D" w:rsidRDefault="00D4123E">
            <w:pPr>
              <w:spacing w:before="40" w:after="40"/>
            </w:pPr>
            <w:r>
              <w:t>StockCode</w:t>
            </w:r>
          </w:p>
        </w:tc>
        <w:tc>
          <w:tcPr>
            <w:tcW w:w="1200" w:type="dxa"/>
          </w:tcPr>
          <w:p w14:paraId="5D8716F3" w14:textId="77777777" w:rsidR="007907A0" w:rsidRPr="006E186D" w:rsidRDefault="00D4123E">
            <w:pPr>
              <w:spacing w:before="40" w:after="40"/>
              <w:jc w:val="center"/>
            </w:pPr>
            <w:r>
              <w:t>Categórica</w:t>
            </w:r>
          </w:p>
        </w:tc>
        <w:tc>
          <w:tcPr>
            <w:tcW w:w="3500" w:type="dxa"/>
          </w:tcPr>
          <w:p w14:paraId="22885BD2" w14:textId="77777777" w:rsidR="007907A0" w:rsidRPr="006E186D" w:rsidRDefault="00D4123E">
            <w:pPr>
              <w:spacing w:before="40" w:after="40"/>
              <w:jc w:val="center"/>
            </w:pPr>
            <w:r>
              <w:t>Código de producto</w:t>
            </w:r>
          </w:p>
        </w:tc>
        <w:tc>
          <w:tcPr>
            <w:tcW w:w="2572" w:type="dxa"/>
          </w:tcPr>
          <w:p w14:paraId="64373E36" w14:textId="77777777" w:rsidR="007907A0" w:rsidRPr="006E186D" w:rsidRDefault="00D4123E">
            <w:pPr>
              <w:spacing w:before="40" w:after="40"/>
              <w:jc w:val="center"/>
            </w:pPr>
            <w:r>
              <w:t>Referencia</w:t>
            </w:r>
          </w:p>
        </w:tc>
      </w:tr>
      <w:tr w:rsidR="007907A0" w:rsidRPr="006E186D" w14:paraId="2A858C7E" w14:textId="77777777" w:rsidTr="006E186D">
        <w:tc>
          <w:tcPr>
            <w:tcW w:w="1800" w:type="dxa"/>
          </w:tcPr>
          <w:p w14:paraId="48776BBC" w14:textId="77777777" w:rsidR="007907A0" w:rsidRPr="006E186D" w:rsidRDefault="00D4123E">
            <w:pPr>
              <w:spacing w:before="40" w:after="40"/>
            </w:pPr>
            <w:r>
              <w:t>Description</w:t>
            </w:r>
          </w:p>
        </w:tc>
        <w:tc>
          <w:tcPr>
            <w:tcW w:w="1200" w:type="dxa"/>
          </w:tcPr>
          <w:p w14:paraId="286CEAC2" w14:textId="77777777" w:rsidR="007907A0" w:rsidRPr="006E186D" w:rsidRDefault="00D4123E">
            <w:pPr>
              <w:spacing w:before="40" w:after="40"/>
              <w:jc w:val="center"/>
            </w:pPr>
            <w:r>
              <w:t>Texto</w:t>
            </w:r>
          </w:p>
        </w:tc>
        <w:tc>
          <w:tcPr>
            <w:tcW w:w="3500" w:type="dxa"/>
          </w:tcPr>
          <w:p w14:paraId="7576D7AF" w14:textId="77777777" w:rsidR="007907A0" w:rsidRPr="006E186D" w:rsidRDefault="00D4123E">
            <w:pPr>
              <w:spacing w:before="40" w:after="40"/>
              <w:jc w:val="center"/>
            </w:pPr>
            <w:r>
              <w:t>Nombre del producto</w:t>
            </w:r>
          </w:p>
        </w:tc>
        <w:tc>
          <w:tcPr>
            <w:tcW w:w="2572" w:type="dxa"/>
          </w:tcPr>
          <w:p w14:paraId="6B3D5227" w14:textId="77777777" w:rsidR="007907A0" w:rsidRPr="006E186D" w:rsidRDefault="00D4123E">
            <w:pPr>
              <w:spacing w:before="40" w:after="40"/>
              <w:jc w:val="center"/>
            </w:pPr>
            <w:r>
              <w:t>Referencia</w:t>
            </w:r>
          </w:p>
        </w:tc>
      </w:tr>
      <w:tr w:rsidR="007907A0" w:rsidRPr="006E186D" w14:paraId="4BDF91A4" w14:textId="77777777" w:rsidTr="006E186D">
        <w:tc>
          <w:tcPr>
            <w:tcW w:w="1800" w:type="dxa"/>
          </w:tcPr>
          <w:p w14:paraId="606B8E05" w14:textId="77777777" w:rsidR="007907A0" w:rsidRPr="006E186D" w:rsidRDefault="00D4123E">
            <w:pPr>
              <w:spacing w:before="40" w:after="40"/>
            </w:pPr>
            <w:r>
              <w:t>Quantity</w:t>
            </w:r>
          </w:p>
        </w:tc>
        <w:tc>
          <w:tcPr>
            <w:tcW w:w="1200" w:type="dxa"/>
          </w:tcPr>
          <w:p w14:paraId="19344443" w14:textId="77777777" w:rsidR="007907A0" w:rsidRPr="006E186D" w:rsidRDefault="00D4123E">
            <w:pPr>
              <w:spacing w:before="40" w:after="40"/>
              <w:jc w:val="center"/>
            </w:pPr>
            <w:r>
              <w:t>Numérica</w:t>
            </w:r>
          </w:p>
        </w:tc>
        <w:tc>
          <w:tcPr>
            <w:tcW w:w="3500" w:type="dxa"/>
          </w:tcPr>
          <w:p w14:paraId="052B8E24" w14:textId="77777777" w:rsidR="007907A0" w:rsidRPr="006E186D" w:rsidRDefault="00D4123E">
            <w:pPr>
              <w:spacing w:before="40" w:after="40"/>
              <w:jc w:val="center"/>
            </w:pPr>
            <w:r>
              <w:t>Cantidad de unidades por línea de factura</w:t>
            </w:r>
          </w:p>
        </w:tc>
        <w:tc>
          <w:tcPr>
            <w:tcW w:w="2572" w:type="dxa"/>
          </w:tcPr>
          <w:p w14:paraId="72F8BFB6" w14:textId="77777777" w:rsidR="007907A0" w:rsidRPr="006E186D" w:rsidRDefault="00D4123E">
            <w:pPr>
              <w:spacing w:before="40" w:after="40"/>
              <w:jc w:val="center"/>
            </w:pPr>
            <w:r>
              <w:t>Construcción RFM</w:t>
            </w:r>
          </w:p>
        </w:tc>
      </w:tr>
      <w:tr w:rsidR="007907A0" w:rsidRPr="006E186D" w14:paraId="6BE62EDA" w14:textId="77777777" w:rsidTr="006E186D">
        <w:tc>
          <w:tcPr>
            <w:tcW w:w="1800" w:type="dxa"/>
          </w:tcPr>
          <w:p w14:paraId="5AE32967" w14:textId="77777777" w:rsidR="007907A0" w:rsidRPr="006E186D" w:rsidRDefault="00D4123E">
            <w:pPr>
              <w:spacing w:before="40" w:after="40"/>
            </w:pPr>
            <w:r>
              <w:t>InvoiceDate</w:t>
            </w:r>
          </w:p>
        </w:tc>
        <w:tc>
          <w:tcPr>
            <w:tcW w:w="1200" w:type="dxa"/>
          </w:tcPr>
          <w:p w14:paraId="57B832AD" w14:textId="77777777" w:rsidR="007907A0" w:rsidRPr="006E186D" w:rsidRDefault="00D4123E">
            <w:pPr>
              <w:spacing w:before="40" w:after="40"/>
              <w:jc w:val="center"/>
            </w:pPr>
            <w:r>
              <w:t>Fecha/hora</w:t>
            </w:r>
          </w:p>
        </w:tc>
        <w:tc>
          <w:tcPr>
            <w:tcW w:w="3500" w:type="dxa"/>
          </w:tcPr>
          <w:p w14:paraId="507D0404" w14:textId="77777777" w:rsidR="007907A0" w:rsidRPr="006E186D" w:rsidRDefault="00D4123E">
            <w:pPr>
              <w:spacing w:before="40" w:after="40"/>
              <w:jc w:val="center"/>
            </w:pPr>
            <w:r>
              <w:t>Fecha y hora de la transacción</w:t>
            </w:r>
          </w:p>
        </w:tc>
        <w:tc>
          <w:tcPr>
            <w:tcW w:w="2572" w:type="dxa"/>
          </w:tcPr>
          <w:p w14:paraId="6710003E" w14:textId="77777777" w:rsidR="007907A0" w:rsidRPr="006E186D" w:rsidRDefault="00D4123E">
            <w:pPr>
              <w:spacing w:before="40" w:after="40"/>
              <w:jc w:val="center"/>
            </w:pPr>
            <w:r>
              <w:t>Construcción Recency</w:t>
            </w:r>
          </w:p>
        </w:tc>
      </w:tr>
      <w:tr w:rsidR="007907A0" w:rsidRPr="006E186D" w14:paraId="25218C4D" w14:textId="77777777" w:rsidTr="006E186D">
        <w:tc>
          <w:tcPr>
            <w:tcW w:w="1800" w:type="dxa"/>
          </w:tcPr>
          <w:p w14:paraId="78A04359" w14:textId="77777777" w:rsidR="007907A0" w:rsidRPr="006E186D" w:rsidRDefault="00D4123E">
            <w:pPr>
              <w:spacing w:before="40" w:after="40"/>
            </w:pPr>
            <w:r>
              <w:t>UnitPrice</w:t>
            </w:r>
          </w:p>
        </w:tc>
        <w:tc>
          <w:tcPr>
            <w:tcW w:w="1200" w:type="dxa"/>
          </w:tcPr>
          <w:p w14:paraId="3744ABBD" w14:textId="77777777" w:rsidR="007907A0" w:rsidRPr="006E186D" w:rsidRDefault="00D4123E">
            <w:pPr>
              <w:spacing w:before="40" w:after="40"/>
              <w:jc w:val="center"/>
            </w:pPr>
            <w:r>
              <w:t>Numérica</w:t>
            </w:r>
          </w:p>
        </w:tc>
        <w:tc>
          <w:tcPr>
            <w:tcW w:w="3500" w:type="dxa"/>
          </w:tcPr>
          <w:p w14:paraId="607D359E" w14:textId="77777777" w:rsidR="007907A0" w:rsidRPr="006E186D" w:rsidRDefault="00D4123E">
            <w:pPr>
              <w:spacing w:before="40" w:after="40"/>
              <w:jc w:val="center"/>
            </w:pPr>
            <w:r>
              <w:t>Precio unitario en libras esterlinas (£)</w:t>
            </w:r>
          </w:p>
        </w:tc>
        <w:tc>
          <w:tcPr>
            <w:tcW w:w="2572" w:type="dxa"/>
          </w:tcPr>
          <w:p w14:paraId="3E7EE4EF" w14:textId="77777777" w:rsidR="007907A0" w:rsidRPr="006E186D" w:rsidRDefault="00D4123E">
            <w:pPr>
              <w:spacing w:before="40" w:after="40"/>
              <w:jc w:val="center"/>
            </w:pPr>
            <w:r>
              <w:t>Construcción Monetary</w:t>
            </w:r>
          </w:p>
        </w:tc>
      </w:tr>
      <w:tr w:rsidR="007907A0" w:rsidRPr="006E186D" w14:paraId="10A8612E" w14:textId="77777777" w:rsidTr="006E186D">
        <w:tc>
          <w:tcPr>
            <w:tcW w:w="1800" w:type="dxa"/>
          </w:tcPr>
          <w:p w14:paraId="131039E5" w14:textId="77777777" w:rsidR="007907A0" w:rsidRPr="006E186D" w:rsidRDefault="00D4123E">
            <w:pPr>
              <w:spacing w:before="40" w:after="40"/>
            </w:pPr>
            <w:r>
              <w:t>CustomerID</w:t>
            </w:r>
          </w:p>
        </w:tc>
        <w:tc>
          <w:tcPr>
            <w:tcW w:w="1200" w:type="dxa"/>
          </w:tcPr>
          <w:p w14:paraId="7089CA73" w14:textId="77777777" w:rsidR="007907A0" w:rsidRPr="006E186D" w:rsidRDefault="00D4123E">
            <w:pPr>
              <w:spacing w:before="40" w:after="40"/>
              <w:jc w:val="center"/>
            </w:pPr>
            <w:r>
              <w:t>Numérica</w:t>
            </w:r>
          </w:p>
        </w:tc>
        <w:tc>
          <w:tcPr>
            <w:tcW w:w="3500" w:type="dxa"/>
          </w:tcPr>
          <w:p w14:paraId="712889D2" w14:textId="77777777" w:rsidR="007907A0" w:rsidRPr="006E186D" w:rsidRDefault="00D4123E">
            <w:pPr>
              <w:spacing w:before="40" w:after="40"/>
              <w:jc w:val="center"/>
            </w:pPr>
            <w:r>
              <w:t>Identificador único del cliente</w:t>
            </w:r>
          </w:p>
        </w:tc>
        <w:tc>
          <w:tcPr>
            <w:tcW w:w="2572" w:type="dxa"/>
          </w:tcPr>
          <w:p w14:paraId="3B3C3ACB" w14:textId="77777777" w:rsidR="007907A0" w:rsidRPr="006E186D" w:rsidRDefault="00D4123E">
            <w:pPr>
              <w:spacing w:before="40" w:after="40"/>
              <w:jc w:val="center"/>
            </w:pPr>
            <w:r>
              <w:t>Clave de agrupación</w:t>
            </w:r>
          </w:p>
        </w:tc>
      </w:tr>
      <w:tr w:rsidR="007907A0" w:rsidRPr="006E186D" w14:paraId="3A9CA6E6" w14:textId="77777777" w:rsidTr="006E186D">
        <w:tc>
          <w:tcPr>
            <w:tcW w:w="1800" w:type="dxa"/>
          </w:tcPr>
          <w:p w14:paraId="26A4D69D" w14:textId="77777777" w:rsidR="007907A0" w:rsidRPr="006E186D" w:rsidRDefault="00D4123E">
            <w:pPr>
              <w:spacing w:before="40" w:after="40"/>
            </w:pPr>
            <w:r>
              <w:t>Country</w:t>
            </w:r>
          </w:p>
        </w:tc>
        <w:tc>
          <w:tcPr>
            <w:tcW w:w="1200" w:type="dxa"/>
          </w:tcPr>
          <w:p w14:paraId="1CCA01A8" w14:textId="77777777" w:rsidR="007907A0" w:rsidRPr="006E186D" w:rsidRDefault="00D4123E">
            <w:pPr>
              <w:spacing w:before="40" w:after="40"/>
              <w:jc w:val="center"/>
            </w:pPr>
            <w:r>
              <w:t>Categórica</w:t>
            </w:r>
          </w:p>
        </w:tc>
        <w:tc>
          <w:tcPr>
            <w:tcW w:w="3500" w:type="dxa"/>
          </w:tcPr>
          <w:p w14:paraId="0CAE3B7D" w14:textId="77777777" w:rsidR="007907A0" w:rsidRPr="006E186D" w:rsidRDefault="00D4123E">
            <w:pPr>
              <w:spacing w:before="40" w:after="40"/>
              <w:jc w:val="center"/>
            </w:pPr>
            <w:r>
              <w:t>País del cliente</w:t>
            </w:r>
          </w:p>
        </w:tc>
        <w:tc>
          <w:tcPr>
            <w:tcW w:w="2572" w:type="dxa"/>
          </w:tcPr>
          <w:p w14:paraId="132CD965" w14:textId="77777777" w:rsidR="007907A0" w:rsidRPr="006E186D" w:rsidRDefault="00D4123E">
            <w:pPr>
              <w:spacing w:before="40" w:after="40"/>
              <w:jc w:val="center"/>
            </w:pPr>
            <w:r>
              <w:t>Descriptiva</w:t>
            </w:r>
          </w:p>
        </w:tc>
      </w:tr>
    </w:tbl>
    <w:p w14:paraId="26BB89AB" w14:textId="77777777" w:rsidR="007907A0" w:rsidRPr="006E186D" w:rsidRDefault="00D4123E">
      <w:pPr>
        <w:spacing w:line="360" w:lineRule="auto"/>
      </w:pPr>
      <w:r>
        <w:t xml:space="preserve"> </w:t>
      </w:r>
    </w:p>
    <w:p w14:paraId="039D1CDF" w14:textId="27DF3D58" w:rsidR="007907A0" w:rsidRPr="006E186D" w:rsidRDefault="00D4123E">
      <w:pPr>
        <w:spacing w:line="360" w:lineRule="auto"/>
      </w:pPr>
      <w:r>
        <w:rPr>
          <w:i/>
          <w:iCs/>
        </w:rPr>
        <w:t xml:space="preserve">Fuente: Elaboración propia a partir del Online Retail Dataset (UCI Machine Learning Repository).</w:t>
      </w:r>
    </w:p>
    <w:p w14:paraId="3D694FE2" w14:textId="77777777" w:rsidR="007907A0" w:rsidRPr="006E186D" w:rsidRDefault="00D4123E">
      <w:pPr>
        <w:spacing w:line="360" w:lineRule="auto"/>
      </w:pPr>
      <w:r>
        <w:t xml:space="preserve"> </w:t>
      </w:r>
    </w:p>
    <w:p w14:paraId="0C2A65C6" w14:textId="5BE13526" w:rsidR="007907A0" w:rsidRPr="006E186D" w:rsidRDefault="00D4123E">
      <w:pPr>
        <w:spacing w:line="360" w:lineRule="auto"/>
        <w:jc w:val="both"/>
      </w:pPr>
      <w:r>
        <w:t xml:space="preserve">Como se ve en la Tabla 1, las variables </w:t>
      </w:r>
      <w:r>
        <w:rPr>
          <w:i/>
          <w:iCs/>
        </w:rPr>
        <w:t>Quantity</w:t>
      </w:r>
      <w:r>
        <w:t xml:space="preserve">, la variable </w:t>
      </w:r>
      <w:r>
        <w:rPr>
          <w:i/>
          <w:iCs/>
        </w:rPr>
        <w:t>InvoiceDate</w:t>
      </w:r>
      <w:r>
        <w:t xml:space="preserve"> y la variable </w:t>
      </w:r>
      <w:r>
        <w:rPr>
          <w:i/>
          <w:iCs/>
        </w:rPr>
        <w:t>UnitPrice</w:t>
      </w:r>
      <w:r>
        <w:t xml:space="preserve"> son las fuentes principales para construir las métricas RFM. La variable </w:t>
      </w:r>
      <w:r>
        <w:rPr>
          <w:i/>
          <w:iCs/>
        </w:rPr>
        <w:t>CustomerID</w:t>
      </w:r>
      <w:r>
        <w:t xml:space="preserve"> sirve como clave de agrupación para juntar el comportamiento histórico de cada cliente.</w:t>
      </w:r>
    </w:p>
    <w:p w14:paraId="518F1A25" w14:textId="77777777" w:rsidR="007907A0" w:rsidRPr="006E186D" w:rsidRDefault="00D4123E">
      <w:pPr>
        <w:spacing w:line="360" w:lineRule="auto"/>
      </w:pPr>
      <w:r>
        <w:t xml:space="preserve"> </w:t>
      </w:r>
    </w:p>
    <w:p w14:paraId="79EAE6A3" w14:textId="77777777" w:rsidR="007907A0" w:rsidRPr="006E186D" w:rsidRDefault="00D4123E">
      <w:pPr>
        <w:pStyle w:val="Ttulo2"/>
      </w:pPr>
      <w:r>
        <w:rPr>
          <w:highlight w:val="cyan"/>
        </w:rPr>
        <w:t>2.3 Preparación y preprocesamiento de los datos</w:t>
      </w:r>
    </w:p>
    <w:p w14:paraId="439EFC51" w14:textId="77777777" w:rsidR="007907A0" w:rsidRPr="006E186D" w:rsidRDefault="00D4123E">
      <w:pPr>
        <w:spacing w:line="360" w:lineRule="auto"/>
      </w:pPr>
      <w:r>
        <w:t xml:space="preserve"> </w:t>
      </w:r>
    </w:p>
    <w:p w14:paraId="45428811" w14:textId="2DF3C45D" w:rsidR="007907A0" w:rsidRPr="006E186D" w:rsidRDefault="00D4123E">
      <w:pPr>
        <w:spacing w:line="360" w:lineRule="auto"/>
        <w:jc w:val="both"/>
      </w:pPr>
      <w:r>
        <w:t xml:space="preserve">El pipeline de limpieza se ejecutó en cuatro etapas secuenciales, cada una justificada por las características analíticas del problema. Primero, se eliminaron los 135 080 registros sin </w:t>
      </w:r>
      <w:r>
        <w:rPr>
          <w:i/>
          <w:iCs/>
        </w:rPr>
        <w:t xml:space="preserve">CustomerID</w:t>
      </w:r>
      <w:r>
        <w:t xml:space="preserve"> (24,93% del total), porque sin identificador de cliente no se pueden construir perfiles individuales de comportamiento. Segundo, se excluyeron 8 905 líneas de facturas de cancelación —identificadas por el prefijo 'C' en el campo </w:t>
      </w:r>
      <w:r>
        <w:rPr>
          <w:i/>
          <w:iCs/>
        </w:rPr>
        <w:t xml:space="preserve">InvoiceNo</w:t>
      </w:r>
      <w:r>
        <w:t xml:space="preserve">—, ya que su inclusión distorsionaría el valor monetario acumulado al restar transacciones ya contabilizadas. Tercero, se filtraron 40 registros con valores no positivos en </w:t>
      </w:r>
      <w:r>
        <w:rPr>
          <w:i/>
          <w:iCs/>
        </w:rPr>
        <w:t xml:space="preserve">Quantity</w:t>
      </w:r>
      <w:r>
        <w:t xml:space="preserve"> o </w:t>
      </w:r>
      <w:r>
        <w:rPr>
          <w:i/>
          <w:iCs/>
        </w:rPr>
        <w:t xml:space="preserve">UnitPrice</w:t>
      </w:r>
      <w:r>
        <w:t xml:space="preserve">, que correspondían a ajustes contables sin valor analítico. Cuarto, se eliminaron 5 192 registros duplicados exactos, provocados por errores de doble imputación que sesgarían artificialmente la frecuencia de compra. El dataset resultante contiene 392 692 transacciones pertenecientes a 4 338 clientes únicos.</w:t>
      </w:r>
    </w:p>
    <w:p w14:paraId="246AC972" w14:textId="77777777" w:rsidR="007907A0" w:rsidRPr="006E186D" w:rsidRDefault="00D4123E">
      <w:pPr>
        <w:spacing w:line="360" w:lineRule="auto"/>
      </w:pPr>
      <w:r>
        <w:t xml:space="preserve"> </w:t>
      </w:r>
    </w:p>
    <w:p w14:paraId="2FBEE904" w14:textId="35A549C6" w:rsidR="007907A0" w:rsidRPr="006E186D" w:rsidRDefault="00D4123E">
      <w:pPr>
        <w:spacing w:line="360" w:lineRule="auto"/>
        <w:jc w:val="both"/>
      </w:pPr>
      <w:r>
        <w:t xml:space="preserve">A partir del dataset limpio se creó la variable derivada </w:t>
      </w:r>
      <w:r>
        <w:rPr>
          <w:i/>
          <w:iCs/>
        </w:rPr>
        <w:t>TotalPrice = Quantity × UnitPrice</w:t>
      </w:r>
      <w:r>
        <w:t xml:space="preserve">, base para el cálculo de la dimensión monetaria. Se identificaron 20 852 transacciones con valores extremos de </w:t>
      </w:r>
      <w:r>
        <w:rPr>
          <w:i/>
          <w:iCs/>
        </w:rPr>
        <w:t>TotalPrice</w:t>
      </w:r>
      <w:r>
        <w:t xml:space="preserve"> (5,31%), que no se eliminaron, sino que se gestionaron mediante escalado robusto. Las variables RFM se construyeron para cada cliente con fecha de referencia </w:t>
      </w:r>
      <w:r>
        <w:rPr>
          <w:i/>
          <w:iCs/>
        </w:rPr>
        <w:t>snapshot date = 2011</w:t>
      </w:r>
      <w:r>
        <w:rPr>
          <w:rFonts w:ascii="Cambria Math" w:hAnsi="Cambria Math" w:cs="Cambria Math"/>
          <w:i/>
          <w:iCs/>
        </w:rPr>
        <w:t>‑</w:t>
      </w:r>
      <w:r>
        <w:rPr>
          <w:i/>
          <w:iCs/>
        </w:rPr>
        <w:t>12</w:t>
      </w:r>
      <w:r>
        <w:rPr>
          <w:rFonts w:ascii="Cambria Math" w:hAnsi="Cambria Math" w:cs="Cambria Math"/>
          <w:i/>
          <w:iCs/>
        </w:rPr>
        <w:t>‑</w:t>
      </w:r>
      <w:r>
        <w:rPr>
          <w:i/>
          <w:iCs/>
        </w:rPr>
        <w:t>10</w:t>
      </w:r>
      <w:r>
        <w:t xml:space="preserve"> (un día posterior a la última transacción del dataset): </w:t>
      </w:r>
      <w:r>
        <w:rPr>
          <w:i/>
          <w:iCs/>
        </w:rPr>
        <w:t>Recency</w:t>
      </w:r>
      <w:r>
        <w:t xml:space="preserve"> = días desde la última compra; </w:t>
      </w:r>
      <w:r>
        <w:rPr>
          <w:i/>
          <w:iCs/>
        </w:rPr>
        <w:t>Frequency</w:t>
      </w:r>
      <w:r>
        <w:t xml:space="preserve"> = número de facturas únicas; </w:t>
      </w:r>
      <w:r>
        <w:rPr>
          <w:i/>
          <w:iCs/>
        </w:rPr>
        <w:t>Monetary</w:t>
      </w:r>
      <w:r>
        <w:t xml:space="preserve"> = suma de </w:t>
      </w:r>
      <w:r>
        <w:rPr>
          <w:i/>
          <w:iCs/>
        </w:rPr>
        <w:t>TotalPrice</w:t>
      </w:r>
      <w:r>
        <w:t xml:space="preserve">. El escalado se realizó con </w:t>
      </w:r>
      <w:r>
        <w:rPr>
          <w:i/>
          <w:iCs/>
        </w:rPr>
        <w:t>RobustScaler</w:t>
      </w:r>
      <w:r>
        <w:t xml:space="preserve"> — que sustrae la mediana y divide por el rango intercuartílico (RIC) — en lugar del z-score estándar, dado el perfil de distribuciones fuertemente asimétricas y con valores extremos observado en las tres dimensiones RFM (Rousseeuw, 1987).</w:t>
      </w:r>
    </w:p>
    <w:p w14:paraId="49FE06AF" w14:textId="77777777" w:rsidR="007907A0" w:rsidRPr="006E186D" w:rsidRDefault="00D4123E">
      <w:pPr>
        <w:spacing w:line="360" w:lineRule="auto"/>
      </w:pPr>
      <w:r>
        <w:t xml:space="preserve"> </w:t>
      </w:r>
    </w:p>
    <w:p w14:paraId="31534550" w14:textId="77777777" w:rsidR="007907A0" w:rsidRPr="006E186D" w:rsidRDefault="00D4123E">
      <w:pPr>
        <w:pStyle w:val="Ttulo2"/>
      </w:pPr>
      <w:r>
        <w:t>2.4 Técnicas de análisis y minería de datos</w:t>
      </w:r>
    </w:p>
    <w:p w14:paraId="6296CA74" w14:textId="77777777" w:rsidR="007907A0" w:rsidRPr="006E186D" w:rsidRDefault="00D4123E">
      <w:pPr>
        <w:spacing w:line="360" w:lineRule="auto"/>
      </w:pPr>
      <w:r>
        <w:t xml:space="preserve"> </w:t>
      </w:r>
    </w:p>
    <w:p w14:paraId="4DE1AD6A" w14:textId="58CEF19B" w:rsidR="007907A0" w:rsidRPr="006E186D" w:rsidRDefault="00D4123E">
      <w:pPr>
        <w:spacing w:line="360" w:lineRule="auto"/>
        <w:jc w:val="both"/>
      </w:pPr>
      <w:r>
        <w:t xml:space="preserve">Se aplicaron tres algoritmos de clustering sobre el espacio RFM escalado. K-Means (MacQueen, 1967) minimiza la inercia total J = Σ</w:t>
      </w:r>
      <w:r>
        <w:rPr>
          <w:rFonts w:ascii="Cambria Math" w:hAnsi="Cambria Math" w:cs="Cambria Math"/>
        </w:rPr>
        <w:t>ₖ</w:t>
      </w:r>
      <w:r>
        <w:t xml:space="preserve"> Σx</w:t>
      </w:r>
      <w:r>
        <w:rPr>
          <w:rFonts w:ascii="Cambria Math" w:hAnsi="Cambria Math" w:cs="Cambria Math"/>
        </w:rPr>
        <w:t>∈</w:t>
      </w:r>
      <w:r>
        <w:t>C</w:t>
      </w:r>
      <w:r>
        <w:rPr>
          <w:rFonts w:ascii="Cambria Math" w:hAnsi="Cambria Math" w:cs="Cambria Math"/>
        </w:rPr>
        <w:t>ₖ</w:t>
      </w:r>
      <w:r>
        <w:t xml:space="preserve"> ‖x − μ</w:t>
      </w:r>
      <w:r>
        <w:rPr>
          <w:rFonts w:ascii="Cambria Math" w:hAnsi="Cambria Math" w:cs="Cambria Math"/>
        </w:rPr>
        <w:t>ₖ</w:t>
      </w:r>
      <w:r>
        <w:t xml:space="preserve">‖². K</w:t>
      </w:r>
      <w:r>
        <w:rPr>
          <w:rFonts w:ascii="Cambria Math" w:hAnsi="Cambria Math" w:cs="Cambria Math"/>
        </w:rPr>
        <w:t>‑</w:t>
      </w:r>
      <w:r>
        <w:t xml:space="preserve">Means usó k=4, seleccionado con el método del codo y con el coeficiente de Silhouette para k = 2 … 10. K</w:t>
      </w:r>
      <w:r>
        <w:rPr>
          <w:rFonts w:ascii="Cambria Math" w:hAnsi="Cambria Math" w:cs="Cambria Math"/>
        </w:rPr>
        <w:t>‑</w:t>
      </w:r>
      <w:r>
        <w:t xml:space="preserve">Means se inicializó con K-Means++ (Arthur &amp; Vassilvitskii, 2007) y n_init = 20 para reducir la sensibilidad a la inicialización. DBSCAN (Ester et al., 1996) identifica clusters como regiones de densidad local con  eps = 0.5 y min_samples = 10. DBSCAN etiqueta automáticamente los puntos atípicos como ruido y no necesita especificar el número de clusters. GMM (McLachlan &amp; Peel, 2000) modela la distribución de datos como mezcla de cuatro componentes gaussianas multivariadas (covariance_type = 'full'). GMM estima los parámetros con el algoritmo EM.</w:t>
      </w:r>
    </w:p>
    <w:p w14:paraId="65C69D36" w14:textId="77777777" w:rsidR="007907A0" w:rsidRPr="006E186D" w:rsidRDefault="00D4123E">
      <w:pPr>
        <w:spacing w:line="360" w:lineRule="auto"/>
      </w:pPr>
      <w:r>
        <w:t xml:space="preserve"> </w:t>
      </w:r>
    </w:p>
    <w:p w14:paraId="3CE9A99C" w14:textId="77777777" w:rsidR="00B06824" w:rsidRDefault="00D4123E">
      <w:pPr>
        <w:spacing w:line="360" w:lineRule="auto"/>
        <w:jc w:val="both"/>
      </w:pPr>
      <w:r>
        <w:t xml:space="preserve">Para reducir la dimensionalidad, usamos PCA (Jolliffe, 2002) y proyectamos el espacio RFM en dos y tres dimensiones para poder verlo e interpretarlo. También aplicamos t-SNE (Van der Maaten &amp; Hinton, 2008), una técnica no lineal que mantiene las relaciones de vecindad local, sobre una muestra aleatoria de 3 000 clientes (perplexity = 40, init = 'pca'). Con t</w:t>
      </w:r>
      <w:r>
        <w:rPr>
          <w:rFonts w:ascii="Cambria Math" w:hAnsi="Cambria Math" w:cs="Cambria Math"/>
        </w:rPr>
        <w:t>‑</w:t>
      </w:r>
      <w:r>
        <w:t xml:space="preserve">SNE verificamos que los grupos no fueran artefactos de la proyección lineal. </w:t>
      </w:r>
    </w:p>
    <w:p w14:paraId="0F8A1B6E" w14:textId="001DE63D" w:rsidR="007907A0" w:rsidRPr="006E186D" w:rsidRDefault="00B06824">
      <w:pPr>
        <w:spacing w:line="360" w:lineRule="auto"/>
        <w:jc w:val="both"/>
      </w:pPr>
      <w:r>
        <w:t xml:space="preserve">Luego entrenamos un Autoencoder de aprendizaje profundo con la siguiente arquitectura:  Encoder: Input(3) → Dense(32, ReLU) → BatchNorm → Dropout(0.2) → Dense(16) → BatchNorm → Dense(8) → Latente(3); Decoder: Arquitectura simétrica. Usamos pérdida MSE, optimizador Adam (lr = 0.001) y los callbacks </w:t>
      </w:r>
      <w:r>
        <w:rPr>
          <w:i/>
          <w:iCs/>
        </w:rPr>
        <w:t xml:space="preserve">EarlyStopping</w:t>
      </w:r>
      <w:r>
        <w:t xml:space="preserve"> (patience = 15) y </w:t>
      </w:r>
      <w:r>
        <w:rPr>
          <w:i/>
          <w:iCs/>
        </w:rPr>
        <w:t xml:space="preserve">ReduceLROnPlateau</w:t>
      </w:r>
      <w:r>
        <w:t xml:space="preserve"> (patience = 7) (Hinton &amp; Salakhutdinov, 2006). Sobre el espacio latente obtenido aplicamos de nuevo K-Means. Evaluamos todos los modelos con tres métricas internas: coeficiente de Silhouette s(i) = (b(i) − a(i))/max{a(i),b(i)} (Rousseeuw, 1987), índice de Davies-Bouldin (Davies &amp; Bouldin, 1979) y puntuación de Calinski-Harabasz (Calinski &amp; Harabasz, 1974). El entorno de trabajo fue Python 3.12 con las librerías pandas, NumPy, Scikit-learn, TensorFlow/Keras, Matplotlib, Seaborn, Plotly y Dash, con un entorno virtual (.venv) y versiones de librerías fijadas en requirements.txt para que los resultados sean reproducibles.</w:t>
      </w:r>
    </w:p>
    <w:p w14:paraId="166393A2" w14:textId="45E7352E" w:rsidR="007907A0" w:rsidRPr="006E186D" w:rsidRDefault="007907A0">
      <w:pPr>
        <w:spacing w:line="360" w:lineRule="auto"/>
      </w:pPr>
    </w:p>
    <w:p w14:paraId="0523611B" w14:textId="77777777" w:rsidR="007907A0" w:rsidRPr="006E186D" w:rsidRDefault="00D4123E">
      <w:pPr>
        <w:pStyle w:val="Ttulo1"/>
      </w:pPr>
      <w:r>
        <w:t>3. RESULTADOS Y DISCUSIÓN</w:t>
      </w:r>
    </w:p>
    <w:p w14:paraId="39510594" w14:textId="77777777" w:rsidR="007907A0" w:rsidRPr="006E186D" w:rsidRDefault="00D4123E">
      <w:pPr>
        <w:spacing w:line="360" w:lineRule="auto"/>
      </w:pPr>
      <w:r>
        <w:t xml:space="preserve"> </w:t>
      </w:r>
    </w:p>
    <w:p w14:paraId="744FBE27" w14:textId="77777777" w:rsidR="007907A0" w:rsidRPr="006E186D" w:rsidRDefault="00D4123E">
      <w:pPr>
        <w:pStyle w:val="Ttulo2"/>
      </w:pPr>
      <w:r>
        <w:t>3.1 Caracterización de los datos</w:t>
      </w:r>
    </w:p>
    <w:p w14:paraId="323ED1A2" w14:textId="77777777" w:rsidR="007907A0" w:rsidRPr="006E186D" w:rsidRDefault="00D4123E">
      <w:pPr>
        <w:spacing w:line="360" w:lineRule="auto"/>
      </w:pPr>
      <w:r>
        <w:t xml:space="preserve"> </w:t>
      </w:r>
    </w:p>
    <w:p w14:paraId="2EFD0A3F" w14:textId="20931ED6" w:rsidR="007907A0" w:rsidRPr="006E186D" w:rsidRDefault="00D4123E">
      <w:pPr>
        <w:spacing w:line="360" w:lineRule="auto"/>
        <w:jc w:val="both"/>
      </w:pPr>
      <w:r>
        <w:t xml:space="preserve">El análisis del dataset original encontró tres patrones importantes para el diseño del modelo de segmentación. Primero, la distribución geográfica muestra que el 91,4% de las transacciones son del Reino Unido, por lo que los segmentos que se crean reflejan casi solo el comportamiento de ese mercado. Segundo, el volumen de transacciones tiene una clara estacionalidad con un pico en octubre-noviembre de 2011, justo antes de la navidad, lo que sesga la variable Recency para los clientes que compraron solo en ese periodo. Tercero, las distribuciones de </w:t>
      </w:r>
      <w:r>
        <w:rPr>
          <w:i/>
          <w:iCs/>
        </w:rPr>
        <w:t xml:space="preserve">Quantity</w:t>
      </w:r>
      <w:r>
        <w:t xml:space="preserve"> y </w:t>
      </w:r>
      <w:r>
        <w:rPr>
          <w:i/>
          <w:iCs/>
        </w:rPr>
        <w:t xml:space="preserve">UnitPrice</w:t>
      </w:r>
      <w:r>
        <w:t xml:space="preserve"> son muy asimétricas, con la mayor parte de los datos concentrados en cantidades de 1- 20 unidades y precios menores a £5, lo que indica que el valor del cliente se genera más por la cantidad y la frecuencia de compra que por el precio unitario.</w:t>
      </w:r>
    </w:p>
    <w:p w14:paraId="3C7ED6EC" w14:textId="77777777" w:rsidR="007907A0" w:rsidRPr="006E186D" w:rsidRDefault="00D4123E">
      <w:pPr>
        <w:spacing w:line="360" w:lineRule="auto"/>
      </w:pPr>
      <w:r>
        <w:t xml:space="preserve"> </w:t>
      </w:r>
    </w:p>
    <w:p w14:paraId="6907F2E0" w14:textId="08963F5C" w:rsidR="007907A0" w:rsidRPr="006E186D" w:rsidRDefault="00D4123E">
      <w:pPr>
        <w:spacing w:line="360" w:lineRule="auto"/>
        <w:jc w:val="both"/>
      </w:pPr>
      <w:r>
        <w:t xml:space="preserve">La Tabla 2 muestra las estadísticas descriptivas de las tres variables RFM para los 4 338 clientes después de la limpieza.</w:t>
      </w:r>
    </w:p>
    <w:p w14:paraId="70FD5EBA" w14:textId="77777777" w:rsidR="007907A0" w:rsidRPr="006E186D" w:rsidRDefault="00D4123E">
      <w:pPr>
        <w:spacing w:line="360" w:lineRule="auto"/>
      </w:pPr>
      <w:r>
        <w:t xml:space="preserve"> </w:t>
      </w:r>
    </w:p>
    <w:p w14:paraId="4328003A" w14:textId="0E744370" w:rsidR="007907A0" w:rsidRPr="006E186D" w:rsidRDefault="00D4123E">
      <w:pPr>
        <w:spacing w:line="360" w:lineRule="auto"/>
        <w:jc w:val="center"/>
      </w:pPr>
      <w:r>
        <w:rPr>
          <w:b/>
          <w:bCs/>
        </w:rPr>
        <w:t xml:space="preserve">Tabla 2. Estadísticas descriptivas de las variables RFM (n = 4 338 clientes)</w:t>
      </w:r>
    </w:p>
    <w:p w14:paraId="709D983E" w14:textId="77777777" w:rsidR="007907A0" w:rsidRPr="006E186D" w:rsidRDefault="00D4123E">
      <w:pPr>
        <w:spacing w:line="360" w:lineRule="auto"/>
      </w:pPr>
      <w:r>
        <w:t xml:space="preserve"> </w:t>
      </w:r>
    </w:p>
    <w:tbl>
      <w:tblPr>
        <w:tblStyle w:val="Tablaconcuadrcula"/>
        <w:tblW w:w="9072" w:type="dxa"/>
        <w:tblLook w:val="0000" w:firstRow="0" w:lastRow="0" w:firstColumn="0" w:lastColumn="0" w:noHBand="0" w:noVBand="0"/>
      </w:tblPr>
      <w:tblGrid>
        <w:gridCol w:w="2434"/>
        <w:gridCol w:w="2011"/>
        <w:gridCol w:w="2405"/>
        <w:gridCol w:w="2222"/>
      </w:tblGrid>
      <w:tr w:rsidR="007907A0" w:rsidRPr="006E186D" w14:paraId="3BB6EFCD" w14:textId="77777777" w:rsidTr="00FE5B44">
        <w:trPr>
          <w:tblHeader/>
        </w:trPr>
        <w:tc>
          <w:tcPr>
            <w:tcW w:w="2300" w:type="dxa"/>
          </w:tcPr>
          <w:p w14:paraId="68E6874B" w14:textId="77777777" w:rsidR="007907A0" w:rsidRPr="006E186D" w:rsidRDefault="00D4123E">
            <w:pPr>
              <w:spacing w:before="40" w:after="40"/>
              <w:jc w:val="center"/>
            </w:pPr>
            <w:r>
              <w:rPr>
                <w:b/>
                <w:bCs/>
              </w:rPr>
              <w:t>Estadístico</w:t>
            </w:r>
          </w:p>
        </w:tc>
        <w:tc>
          <w:tcPr>
            <w:tcW w:w="1900" w:type="dxa"/>
          </w:tcPr>
          <w:p w14:paraId="6EE1435A" w14:textId="77777777" w:rsidR="007907A0" w:rsidRPr="006E186D" w:rsidRDefault="00D4123E">
            <w:pPr>
              <w:spacing w:before="40" w:after="40"/>
              <w:jc w:val="center"/>
            </w:pPr>
            <w:r>
              <w:rPr>
                <w:b/>
                <w:bCs/>
              </w:rPr>
              <w:t>Recency (días)</w:t>
            </w:r>
          </w:p>
        </w:tc>
        <w:tc>
          <w:tcPr>
            <w:tcW w:w="2272" w:type="dxa"/>
          </w:tcPr>
          <w:p w14:paraId="52E1BE3E" w14:textId="77777777" w:rsidR="007907A0" w:rsidRPr="006E186D" w:rsidRDefault="00D4123E">
            <w:pPr>
              <w:spacing w:before="40" w:after="40"/>
              <w:jc w:val="center"/>
            </w:pPr>
            <w:r>
              <w:rPr>
                <w:b/>
                <w:bCs/>
              </w:rPr>
              <w:t>Frequency (pedidos)</w:t>
            </w:r>
          </w:p>
        </w:tc>
        <w:tc>
          <w:tcPr>
            <w:tcW w:w="2100" w:type="dxa"/>
          </w:tcPr>
          <w:p w14:paraId="394C35C1" w14:textId="77777777" w:rsidR="007907A0" w:rsidRPr="006E186D" w:rsidRDefault="00D4123E">
            <w:pPr>
              <w:spacing w:before="40" w:after="40"/>
              <w:jc w:val="center"/>
            </w:pPr>
            <w:r>
              <w:rPr>
                <w:b/>
                <w:bCs/>
              </w:rPr>
              <w:t>Monetary (£)</w:t>
            </w:r>
          </w:p>
        </w:tc>
      </w:tr>
      <w:tr w:rsidR="007907A0" w:rsidRPr="006E186D" w14:paraId="5951D2CE" w14:textId="77777777" w:rsidTr="006E186D">
        <w:tc>
          <w:tcPr>
            <w:tcW w:w="2300" w:type="dxa"/>
          </w:tcPr>
          <w:p w14:paraId="741A5845" w14:textId="77777777" w:rsidR="007907A0" w:rsidRPr="006E186D" w:rsidRDefault="00D4123E">
            <w:pPr>
              <w:spacing w:before="40" w:after="40"/>
            </w:pPr>
            <w:r>
              <w:t>Media</w:t>
            </w:r>
          </w:p>
        </w:tc>
        <w:tc>
          <w:tcPr>
            <w:tcW w:w="1900" w:type="dxa"/>
          </w:tcPr>
          <w:p w14:paraId="31B9563D" w14:textId="77777777" w:rsidR="007907A0" w:rsidRPr="006E186D" w:rsidRDefault="00D4123E">
            <w:pPr>
              <w:spacing w:before="40" w:after="40"/>
              <w:jc w:val="center"/>
            </w:pPr>
            <w:r>
              <w:t>92.54</w:t>
            </w:r>
          </w:p>
        </w:tc>
        <w:tc>
          <w:tcPr>
            <w:tcW w:w="2272" w:type="dxa"/>
          </w:tcPr>
          <w:p w14:paraId="2E2E2FB6" w14:textId="77777777" w:rsidR="007907A0" w:rsidRPr="006E186D" w:rsidRDefault="00D4123E">
            <w:pPr>
              <w:spacing w:before="40" w:after="40"/>
              <w:jc w:val="center"/>
            </w:pPr>
            <w:r>
              <w:t>4.27</w:t>
            </w:r>
          </w:p>
        </w:tc>
        <w:tc>
          <w:tcPr>
            <w:tcW w:w="2100" w:type="dxa"/>
          </w:tcPr>
          <w:p w14:paraId="3CE932E2" w14:textId="742E0CB9" w:rsidR="007907A0" w:rsidRPr="006E186D" w:rsidRDefault="00D4123E">
            <w:pPr>
              <w:spacing w:before="40" w:after="40"/>
              <w:jc w:val="center"/>
            </w:pPr>
            <w:r>
              <w:t>2048.69</w:t>
            </w:r>
          </w:p>
        </w:tc>
      </w:tr>
      <w:tr w:rsidR="007907A0" w:rsidRPr="006E186D" w14:paraId="52345217" w14:textId="77777777" w:rsidTr="006E186D">
        <w:tc>
          <w:tcPr>
            <w:tcW w:w="2300" w:type="dxa"/>
          </w:tcPr>
          <w:p w14:paraId="33110659" w14:textId="77777777" w:rsidR="007907A0" w:rsidRPr="006E186D" w:rsidRDefault="00D4123E">
            <w:pPr>
              <w:spacing w:before="40" w:after="40"/>
            </w:pPr>
            <w:r>
              <w:t>Mediana</w:t>
            </w:r>
          </w:p>
        </w:tc>
        <w:tc>
          <w:tcPr>
            <w:tcW w:w="1900" w:type="dxa"/>
          </w:tcPr>
          <w:p w14:paraId="2F2D522F" w14:textId="77777777" w:rsidR="007907A0" w:rsidRPr="006E186D" w:rsidRDefault="00D4123E">
            <w:pPr>
              <w:spacing w:before="40" w:after="40"/>
              <w:jc w:val="center"/>
            </w:pPr>
            <w:r>
              <w:t>51.00</w:t>
            </w:r>
          </w:p>
        </w:tc>
        <w:tc>
          <w:tcPr>
            <w:tcW w:w="2272" w:type="dxa"/>
          </w:tcPr>
          <w:p w14:paraId="78B6A458" w14:textId="77777777" w:rsidR="007907A0" w:rsidRPr="006E186D" w:rsidRDefault="00D4123E">
            <w:pPr>
              <w:spacing w:before="40" w:after="40"/>
              <w:jc w:val="center"/>
            </w:pPr>
            <w:r>
              <w:t>2.00</w:t>
            </w:r>
          </w:p>
        </w:tc>
        <w:tc>
          <w:tcPr>
            <w:tcW w:w="2100" w:type="dxa"/>
          </w:tcPr>
          <w:p w14:paraId="11CBCAEB" w14:textId="77777777" w:rsidR="007907A0" w:rsidRPr="006E186D" w:rsidRDefault="00D4123E">
            <w:pPr>
              <w:spacing w:before="40" w:after="40"/>
              <w:jc w:val="center"/>
            </w:pPr>
            <w:r>
              <w:t>668.57</w:t>
            </w:r>
          </w:p>
        </w:tc>
      </w:tr>
      <w:tr w:rsidR="007907A0" w:rsidRPr="006E186D" w14:paraId="00AAC15B" w14:textId="77777777" w:rsidTr="006E186D">
        <w:tc>
          <w:tcPr>
            <w:tcW w:w="2300" w:type="dxa"/>
          </w:tcPr>
          <w:p w14:paraId="3C3E2974" w14:textId="77777777" w:rsidR="007907A0" w:rsidRPr="006E186D" w:rsidRDefault="00D4123E">
            <w:pPr>
              <w:spacing w:before="40" w:after="40"/>
            </w:pPr>
            <w:r>
              <w:lastRenderedPageBreak/>
              <w:t>Desv. estándar</w:t>
            </w:r>
          </w:p>
        </w:tc>
        <w:tc>
          <w:tcPr>
            <w:tcW w:w="1900" w:type="dxa"/>
          </w:tcPr>
          <w:p w14:paraId="37C90C9A" w14:textId="77777777" w:rsidR="007907A0" w:rsidRPr="006E186D" w:rsidRDefault="00D4123E">
            <w:pPr>
              <w:spacing w:before="40" w:after="40"/>
              <w:jc w:val="center"/>
            </w:pPr>
            <w:r>
              <w:t>100.01</w:t>
            </w:r>
          </w:p>
        </w:tc>
        <w:tc>
          <w:tcPr>
            <w:tcW w:w="2272" w:type="dxa"/>
          </w:tcPr>
          <w:p w14:paraId="36F53208" w14:textId="77777777" w:rsidR="007907A0" w:rsidRPr="006E186D" w:rsidRDefault="00D4123E">
            <w:pPr>
              <w:spacing w:before="40" w:after="40"/>
              <w:jc w:val="center"/>
            </w:pPr>
            <w:r>
              <w:t>7.70</w:t>
            </w:r>
          </w:p>
        </w:tc>
        <w:tc>
          <w:tcPr>
            <w:tcW w:w="2100" w:type="dxa"/>
          </w:tcPr>
          <w:p w14:paraId="778D3EAF" w14:textId="25AB188F" w:rsidR="007907A0" w:rsidRPr="006E186D" w:rsidRDefault="00D4123E">
            <w:pPr>
              <w:spacing w:before="40" w:after="40"/>
              <w:jc w:val="center"/>
            </w:pPr>
            <w:r>
              <w:t>8985.23</w:t>
            </w:r>
          </w:p>
        </w:tc>
      </w:tr>
      <w:tr w:rsidR="007907A0" w:rsidRPr="006E186D" w14:paraId="5027EF4B" w14:textId="77777777" w:rsidTr="006E186D">
        <w:tc>
          <w:tcPr>
            <w:tcW w:w="2300" w:type="dxa"/>
          </w:tcPr>
          <w:p w14:paraId="31C86440" w14:textId="77777777" w:rsidR="007907A0" w:rsidRPr="006E186D" w:rsidRDefault="00D4123E">
            <w:pPr>
              <w:spacing w:before="40" w:after="40"/>
            </w:pPr>
            <w:r>
              <w:t>Percentil 25</w:t>
            </w:r>
          </w:p>
        </w:tc>
        <w:tc>
          <w:tcPr>
            <w:tcW w:w="1900" w:type="dxa"/>
          </w:tcPr>
          <w:p w14:paraId="6FBABAD3" w14:textId="77777777" w:rsidR="007907A0" w:rsidRPr="006E186D" w:rsidRDefault="00D4123E">
            <w:pPr>
              <w:spacing w:before="40" w:after="40"/>
              <w:jc w:val="center"/>
            </w:pPr>
            <w:r>
              <w:t>18.00</w:t>
            </w:r>
          </w:p>
        </w:tc>
        <w:tc>
          <w:tcPr>
            <w:tcW w:w="2272" w:type="dxa"/>
          </w:tcPr>
          <w:p w14:paraId="699E123F" w14:textId="77777777" w:rsidR="007907A0" w:rsidRPr="006E186D" w:rsidRDefault="00D4123E">
            <w:pPr>
              <w:spacing w:before="40" w:after="40"/>
              <w:jc w:val="center"/>
            </w:pPr>
            <w:r>
              <w:t>1.00</w:t>
            </w:r>
          </w:p>
        </w:tc>
        <w:tc>
          <w:tcPr>
            <w:tcW w:w="2100" w:type="dxa"/>
          </w:tcPr>
          <w:p w14:paraId="702ED82B" w14:textId="77777777" w:rsidR="007907A0" w:rsidRPr="006E186D" w:rsidRDefault="00D4123E">
            <w:pPr>
              <w:spacing w:before="40" w:after="40"/>
              <w:jc w:val="center"/>
            </w:pPr>
            <w:r>
              <w:t>306.48</w:t>
            </w:r>
          </w:p>
        </w:tc>
      </w:tr>
      <w:tr w:rsidR="007907A0" w:rsidRPr="006E186D" w14:paraId="07997585" w14:textId="77777777" w:rsidTr="006E186D">
        <w:tc>
          <w:tcPr>
            <w:tcW w:w="2300" w:type="dxa"/>
          </w:tcPr>
          <w:p w14:paraId="2713EBE3" w14:textId="77777777" w:rsidR="007907A0" w:rsidRPr="006E186D" w:rsidRDefault="00D4123E">
            <w:pPr>
              <w:spacing w:before="40" w:after="40"/>
            </w:pPr>
            <w:r>
              <w:t>Percentil 75</w:t>
            </w:r>
          </w:p>
        </w:tc>
        <w:tc>
          <w:tcPr>
            <w:tcW w:w="1900" w:type="dxa"/>
          </w:tcPr>
          <w:p w14:paraId="424D1C8F" w14:textId="77777777" w:rsidR="007907A0" w:rsidRPr="006E186D" w:rsidRDefault="00D4123E">
            <w:pPr>
              <w:spacing w:before="40" w:after="40"/>
              <w:jc w:val="center"/>
            </w:pPr>
            <w:r>
              <w:t>142.00</w:t>
            </w:r>
          </w:p>
        </w:tc>
        <w:tc>
          <w:tcPr>
            <w:tcW w:w="2272" w:type="dxa"/>
          </w:tcPr>
          <w:p w14:paraId="234D8386" w14:textId="77777777" w:rsidR="007907A0" w:rsidRPr="006E186D" w:rsidRDefault="00D4123E">
            <w:pPr>
              <w:spacing w:before="40" w:after="40"/>
              <w:jc w:val="center"/>
            </w:pPr>
            <w:r>
              <w:t>5.00</w:t>
            </w:r>
          </w:p>
        </w:tc>
        <w:tc>
          <w:tcPr>
            <w:tcW w:w="2100" w:type="dxa"/>
          </w:tcPr>
          <w:p w14:paraId="6FBB82E5" w14:textId="2FD9E976" w:rsidR="007907A0" w:rsidRPr="006E186D" w:rsidRDefault="00D4123E">
            <w:pPr>
              <w:spacing w:before="40" w:after="40"/>
              <w:jc w:val="center"/>
            </w:pPr>
            <w:r>
              <w:t>1660.60</w:t>
            </w:r>
          </w:p>
        </w:tc>
      </w:tr>
      <w:tr w:rsidR="007907A0" w:rsidRPr="006E186D" w14:paraId="7E82B431" w14:textId="77777777" w:rsidTr="006E186D">
        <w:tc>
          <w:tcPr>
            <w:tcW w:w="2300" w:type="dxa"/>
          </w:tcPr>
          <w:p w14:paraId="253E1934" w14:textId="77777777" w:rsidR="007907A0" w:rsidRPr="006E186D" w:rsidRDefault="00D4123E">
            <w:pPr>
              <w:spacing w:before="40" w:after="40"/>
            </w:pPr>
            <w:r>
              <w:t>Mínimo</w:t>
            </w:r>
          </w:p>
        </w:tc>
        <w:tc>
          <w:tcPr>
            <w:tcW w:w="1900" w:type="dxa"/>
          </w:tcPr>
          <w:p w14:paraId="5A59A7F8" w14:textId="77777777" w:rsidR="007907A0" w:rsidRPr="006E186D" w:rsidRDefault="00D4123E">
            <w:pPr>
              <w:spacing w:before="40" w:after="40"/>
              <w:jc w:val="center"/>
            </w:pPr>
            <w:r>
              <w:t>1.00</w:t>
            </w:r>
          </w:p>
        </w:tc>
        <w:tc>
          <w:tcPr>
            <w:tcW w:w="2272" w:type="dxa"/>
          </w:tcPr>
          <w:p w14:paraId="3C8DCB42" w14:textId="77777777" w:rsidR="007907A0" w:rsidRPr="006E186D" w:rsidRDefault="00D4123E">
            <w:pPr>
              <w:spacing w:before="40" w:after="40"/>
              <w:jc w:val="center"/>
            </w:pPr>
            <w:r>
              <w:t>1.00</w:t>
            </w:r>
          </w:p>
        </w:tc>
        <w:tc>
          <w:tcPr>
            <w:tcW w:w="2100" w:type="dxa"/>
          </w:tcPr>
          <w:p w14:paraId="26BB679D" w14:textId="77777777" w:rsidR="007907A0" w:rsidRPr="006E186D" w:rsidRDefault="00D4123E">
            <w:pPr>
              <w:spacing w:before="40" w:after="40"/>
              <w:jc w:val="center"/>
            </w:pPr>
            <w:r>
              <w:t>3.75</w:t>
            </w:r>
          </w:p>
        </w:tc>
      </w:tr>
      <w:tr w:rsidR="007907A0" w:rsidRPr="006E186D" w14:paraId="130FA765" w14:textId="77777777" w:rsidTr="006E186D">
        <w:tc>
          <w:tcPr>
            <w:tcW w:w="2300" w:type="dxa"/>
          </w:tcPr>
          <w:p w14:paraId="7747CAE9" w14:textId="77777777" w:rsidR="007907A0" w:rsidRPr="006E186D" w:rsidRDefault="00D4123E">
            <w:pPr>
              <w:spacing w:before="40" w:after="40"/>
            </w:pPr>
            <w:r>
              <w:t>Máximo</w:t>
            </w:r>
          </w:p>
        </w:tc>
        <w:tc>
          <w:tcPr>
            <w:tcW w:w="1900" w:type="dxa"/>
          </w:tcPr>
          <w:p w14:paraId="18404A74" w14:textId="77777777" w:rsidR="007907A0" w:rsidRPr="006E186D" w:rsidRDefault="00D4123E">
            <w:pPr>
              <w:spacing w:before="40" w:after="40"/>
              <w:jc w:val="center"/>
            </w:pPr>
            <w:r>
              <w:t>374.00</w:t>
            </w:r>
          </w:p>
        </w:tc>
        <w:tc>
          <w:tcPr>
            <w:tcW w:w="2272" w:type="dxa"/>
          </w:tcPr>
          <w:p w14:paraId="7574F6B7" w14:textId="77777777" w:rsidR="007907A0" w:rsidRPr="006E186D" w:rsidRDefault="00D4123E">
            <w:pPr>
              <w:spacing w:before="40" w:after="40"/>
              <w:jc w:val="center"/>
            </w:pPr>
            <w:r>
              <w:t>209.00</w:t>
            </w:r>
          </w:p>
        </w:tc>
        <w:tc>
          <w:tcPr>
            <w:tcW w:w="2100" w:type="dxa"/>
          </w:tcPr>
          <w:p w14:paraId="2329BBA0" w14:textId="55DE2098" w:rsidR="007907A0" w:rsidRPr="006E186D" w:rsidRDefault="00D4123E">
            <w:pPr>
              <w:spacing w:before="40" w:after="40"/>
              <w:jc w:val="center"/>
            </w:pPr>
            <w:r>
              <w:t>280206.02</w:t>
            </w:r>
          </w:p>
        </w:tc>
      </w:tr>
    </w:tbl>
    <w:p w14:paraId="5A957EFE" w14:textId="77777777" w:rsidR="007907A0" w:rsidRPr="006E186D" w:rsidRDefault="00D4123E">
      <w:pPr>
        <w:spacing w:line="360" w:lineRule="auto"/>
      </w:pPr>
      <w:r>
        <w:t xml:space="preserve"> </w:t>
      </w:r>
    </w:p>
    <w:p w14:paraId="3435C40B" w14:textId="381D44BD" w:rsidR="007907A0" w:rsidRPr="006E186D" w:rsidRDefault="00D4123E">
      <w:pPr>
        <w:spacing w:line="360" w:lineRule="auto"/>
      </w:pPr>
      <w:r>
        <w:rPr>
          <w:i/>
          <w:iCs/>
        </w:rPr>
        <w:t xml:space="preserve">Fuente: Elaboración propia. Fecha de referencia (snapshot): 2011-12-10. Monetary expresado en libras esterlinas (£).</w:t>
      </w:r>
    </w:p>
    <w:p w14:paraId="0DAEB7CF" w14:textId="77777777" w:rsidR="007907A0" w:rsidRPr="006E186D" w:rsidRDefault="00D4123E">
      <w:pPr>
        <w:spacing w:line="360" w:lineRule="auto"/>
      </w:pPr>
      <w:r>
        <w:t xml:space="preserve"> </w:t>
      </w:r>
    </w:p>
    <w:p w14:paraId="02CE4390" w14:textId="689BA5E5" w:rsidR="007907A0" w:rsidRPr="006E186D" w:rsidRDefault="00D4123E">
      <w:pPr>
        <w:spacing w:line="360" w:lineRule="auto"/>
        <w:jc w:val="both"/>
      </w:pPr>
      <w:r>
        <w:t xml:space="preserve">Como se ve en la Tabla 2, las tres variables RFM tienen una asimetría positiva marcada: la media siempre está por encima de la mediana, lo que muestra que hay clientes con valores extremos que empujan la distribución hacia la derecha. El rango de Monetary de (£3.75 a £280206.02) y el de Frequency (de 1 a 209 pedidos) indica una gran variedad en el comportamiento de los clientes, lo que justifica el uso de los algoritmos de clustering. La mediana de Recency es de 51 días, lo que significa que la mitad de los clientes lleva casi dos meses sin comprar; eso es una señal de alto riesgo de abandono y una alerta directa para el área de marketing. Estas distribuciones también hacen que sea más apropiado usar </w:t>
      </w:r>
      <w:r>
        <w:rPr>
          <w:i/>
          <w:iCs/>
        </w:rPr>
        <w:t>RobustScaler</w:t>
      </w:r>
      <w:r>
        <w:t xml:space="preserve"> en lugar del z-score, porque el z-score se ve muy afectado por los valores extremos.</w:t>
      </w:r>
    </w:p>
    <w:p w14:paraId="3E02AA1A" w14:textId="77777777" w:rsidR="007907A0" w:rsidRPr="006E186D" w:rsidRDefault="00D4123E">
      <w:pPr>
        <w:spacing w:line="360" w:lineRule="auto"/>
      </w:pPr>
      <w:r>
        <w:t xml:space="preserve"> </w:t>
      </w:r>
    </w:p>
    <w:p w14:paraId="07448988" w14:textId="77777777" w:rsidR="007907A0" w:rsidRPr="006E186D" w:rsidRDefault="00D4123E">
      <w:pPr>
        <w:pStyle w:val="Ttulo2"/>
      </w:pPr>
      <w:r>
        <w:t>3.2 Resultados de minería de datos</w:t>
      </w:r>
    </w:p>
    <w:p w14:paraId="6B5CE7F7" w14:textId="77777777" w:rsidR="007907A0" w:rsidRPr="006E186D" w:rsidRDefault="00D4123E">
      <w:pPr>
        <w:spacing w:line="360" w:lineRule="auto"/>
      </w:pPr>
      <w:r>
        <w:t xml:space="preserve"> </w:t>
      </w:r>
    </w:p>
    <w:p w14:paraId="663BEC75" w14:textId="08589C5F" w:rsidR="007907A0" w:rsidRPr="006E186D" w:rsidRDefault="009F79DF">
      <w:pPr>
        <w:spacing w:line="360" w:lineRule="auto"/>
        <w:jc w:val="both"/>
      </w:pPr>
      <w:r>
        <w:t xml:space="preserve">Para elegir el número de clusters en K-Means se usó el método del codo y el coeficiente de Silhouette con valores de k entre 2 y 10. El coeficiente alcanzó su valor más alto (0.9806) con k = 2; sin embargo, una solución con solo dos grupos no permite diseñar estrategias de marketing diferenciadas, ya que solo separaría a los clientes de alto valor del resto. Se decidió usar k = 4 como un buen equilibrio entre calidad estadística y facilidad de interpretación, siguiendo las recomendaciones de Fader et al. (2005) sobre la utilidad operativa de los segmentos en marketing. La Tabla 3 muestra las métricas de validación interna de los cuatro modelos de clustering probados.</w:t>
      </w:r>
    </w:p>
    <w:p w14:paraId="23EB3CEA" w14:textId="77777777" w:rsidR="007907A0" w:rsidRPr="006E186D" w:rsidRDefault="00D4123E">
      <w:pPr>
        <w:spacing w:line="360" w:lineRule="auto"/>
      </w:pPr>
      <w:r>
        <w:t xml:space="preserve"> </w:t>
      </w:r>
    </w:p>
    <w:p w14:paraId="3AB71B5C" w14:textId="7829EE8F" w:rsidR="007907A0" w:rsidRPr="006E186D" w:rsidRDefault="00D4123E" w:rsidP="00246CFF">
      <w:pPr>
        <w:spacing w:line="360" w:lineRule="auto"/>
        <w:jc w:val="center"/>
      </w:pPr>
      <w:r>
        <w:rPr>
          <w:b/>
          <w:bCs/>
        </w:rPr>
        <w:t>Tabla 3. Métricas de validación interna por modelo de clustering</w:t>
      </w:r>
    </w:p>
    <w:tbl>
      <w:tblPr>
        <w:tblStyle w:val="Tablaconcuadrcula"/>
        <w:tblW w:w="9072" w:type="dxa"/>
        <w:tblLook w:val="0000" w:firstRow="0" w:lastRow="0" w:firstColumn="0" w:lastColumn="0" w:noHBand="0" w:noVBand="0"/>
      </w:tblPr>
      <w:tblGrid>
        <w:gridCol w:w="2600"/>
        <w:gridCol w:w="1800"/>
        <w:gridCol w:w="2172"/>
        <w:gridCol w:w="2500"/>
      </w:tblGrid>
      <w:tr w:rsidR="007907A0" w:rsidRPr="006E186D" w14:paraId="3F926B40" w14:textId="77777777" w:rsidTr="00FE5B44">
        <w:trPr>
          <w:tblHeader/>
        </w:trPr>
        <w:tc>
          <w:tcPr>
            <w:tcW w:w="2600" w:type="dxa"/>
          </w:tcPr>
          <w:p w14:paraId="1DA1660D" w14:textId="77777777" w:rsidR="007907A0" w:rsidRPr="006E186D" w:rsidRDefault="00D4123E">
            <w:pPr>
              <w:spacing w:before="40" w:after="40"/>
              <w:jc w:val="center"/>
            </w:pPr>
            <w:r>
              <w:rPr>
                <w:b/>
                <w:bCs/>
              </w:rPr>
              <w:t>Modelo</w:t>
            </w:r>
          </w:p>
        </w:tc>
        <w:tc>
          <w:tcPr>
            <w:tcW w:w="1800" w:type="dxa"/>
          </w:tcPr>
          <w:p w14:paraId="53D4BB17" w14:textId="77777777" w:rsidR="007907A0" w:rsidRPr="006E186D" w:rsidRDefault="00D4123E">
            <w:pPr>
              <w:spacing w:before="40" w:after="40"/>
              <w:jc w:val="center"/>
            </w:pPr>
            <w:r>
              <w:rPr>
                <w:b/>
                <w:bCs/>
              </w:rPr>
              <w:t>Silhouette ↑</w:t>
            </w:r>
          </w:p>
        </w:tc>
        <w:tc>
          <w:tcPr>
            <w:tcW w:w="2172" w:type="dxa"/>
          </w:tcPr>
          <w:p w14:paraId="231A4E4E" w14:textId="77777777" w:rsidR="007907A0" w:rsidRPr="006E186D" w:rsidRDefault="00D4123E">
            <w:pPr>
              <w:spacing w:before="40" w:after="40"/>
              <w:jc w:val="center"/>
            </w:pPr>
            <w:r>
              <w:rPr>
                <w:b/>
                <w:bCs/>
              </w:rPr>
              <w:t>Davies-Bouldin ↓</w:t>
            </w:r>
          </w:p>
        </w:tc>
        <w:tc>
          <w:tcPr>
            <w:tcW w:w="2500" w:type="dxa"/>
          </w:tcPr>
          <w:p w14:paraId="433ABDDC" w14:textId="77777777" w:rsidR="007907A0" w:rsidRPr="006E186D" w:rsidRDefault="00D4123E">
            <w:pPr>
              <w:spacing w:before="40" w:after="40"/>
              <w:jc w:val="center"/>
            </w:pPr>
            <w:r>
              <w:rPr>
                <w:b/>
                <w:bCs/>
              </w:rPr>
              <w:t>Calinski-Harabasz ↑</w:t>
            </w:r>
          </w:p>
        </w:tc>
      </w:tr>
      <w:tr w:rsidR="007907A0" w:rsidRPr="006E186D" w14:paraId="0F8589AF" w14:textId="77777777" w:rsidTr="006E186D">
        <w:tc>
          <w:tcPr>
            <w:tcW w:w="2600" w:type="dxa"/>
          </w:tcPr>
          <w:p w14:paraId="6F295748" w14:textId="77777777" w:rsidR="007907A0" w:rsidRPr="006E186D" w:rsidRDefault="00D4123E">
            <w:pPr>
              <w:spacing w:before="40" w:after="40"/>
            </w:pPr>
            <w:r>
              <w:t>K-Means (k=4)</w:t>
            </w:r>
          </w:p>
        </w:tc>
        <w:tc>
          <w:tcPr>
            <w:tcW w:w="1800" w:type="dxa"/>
          </w:tcPr>
          <w:p w14:paraId="2006479D" w14:textId="77777777" w:rsidR="007907A0" w:rsidRPr="006E186D" w:rsidRDefault="00D4123E">
            <w:pPr>
              <w:spacing w:before="40" w:after="40"/>
              <w:jc w:val="center"/>
            </w:pPr>
            <w:r>
              <w:t>0.7451</w:t>
            </w:r>
          </w:p>
        </w:tc>
        <w:tc>
          <w:tcPr>
            <w:tcW w:w="2172" w:type="dxa"/>
          </w:tcPr>
          <w:p w14:paraId="2BF61F96" w14:textId="77777777" w:rsidR="007907A0" w:rsidRPr="006E186D" w:rsidRDefault="00D4123E">
            <w:pPr>
              <w:spacing w:before="40" w:after="40"/>
              <w:jc w:val="center"/>
            </w:pPr>
            <w:r>
              <w:t>0.6131</w:t>
            </w:r>
          </w:p>
        </w:tc>
        <w:tc>
          <w:tcPr>
            <w:tcW w:w="2500" w:type="dxa"/>
          </w:tcPr>
          <w:p w14:paraId="1C269742" w14:textId="36383655" w:rsidR="007907A0" w:rsidRPr="006E186D" w:rsidRDefault="00D4123E">
            <w:pPr>
              <w:spacing w:before="40" w:after="40"/>
              <w:jc w:val="center"/>
            </w:pPr>
            <w:r>
              <w:t>7921.33</w:t>
            </w:r>
          </w:p>
        </w:tc>
      </w:tr>
      <w:tr w:rsidR="007907A0" w:rsidRPr="006E186D" w14:paraId="26A11F65" w14:textId="77777777" w:rsidTr="006E186D">
        <w:tc>
          <w:tcPr>
            <w:tcW w:w="2600" w:type="dxa"/>
          </w:tcPr>
          <w:p w14:paraId="10FFB5BA" w14:textId="77777777" w:rsidR="007907A0" w:rsidRPr="006E186D" w:rsidRDefault="00D4123E">
            <w:pPr>
              <w:spacing w:before="40" w:after="40"/>
            </w:pPr>
            <w:r>
              <w:lastRenderedPageBreak/>
              <w:t>DBSCAN</w:t>
            </w:r>
          </w:p>
        </w:tc>
        <w:tc>
          <w:tcPr>
            <w:tcW w:w="1800" w:type="dxa"/>
          </w:tcPr>
          <w:p w14:paraId="3CEB480F" w14:textId="77777777" w:rsidR="007907A0" w:rsidRPr="006E186D" w:rsidRDefault="00D4123E">
            <w:pPr>
              <w:spacing w:before="40" w:after="40"/>
              <w:jc w:val="center"/>
            </w:pPr>
            <w:r>
              <w:t>0.6027</w:t>
            </w:r>
          </w:p>
        </w:tc>
        <w:tc>
          <w:tcPr>
            <w:tcW w:w="2172" w:type="dxa"/>
          </w:tcPr>
          <w:p w14:paraId="293836BA" w14:textId="77777777" w:rsidR="007907A0" w:rsidRPr="006E186D" w:rsidRDefault="00D4123E">
            <w:pPr>
              <w:spacing w:before="40" w:after="40"/>
              <w:jc w:val="center"/>
            </w:pPr>
            <w:r>
              <w:t>0.3452</w:t>
            </w:r>
          </w:p>
        </w:tc>
        <w:tc>
          <w:tcPr>
            <w:tcW w:w="2500" w:type="dxa"/>
          </w:tcPr>
          <w:p w14:paraId="6C9837CA" w14:textId="77777777" w:rsidR="007907A0" w:rsidRPr="006E186D" w:rsidRDefault="00D4123E">
            <w:pPr>
              <w:spacing w:before="40" w:after="40"/>
              <w:jc w:val="center"/>
            </w:pPr>
            <w:r>
              <w:t>125.38</w:t>
            </w:r>
          </w:p>
        </w:tc>
      </w:tr>
      <w:tr w:rsidR="007907A0" w:rsidRPr="006E186D" w14:paraId="3F112BD2" w14:textId="77777777" w:rsidTr="006E186D">
        <w:tc>
          <w:tcPr>
            <w:tcW w:w="2600" w:type="dxa"/>
          </w:tcPr>
          <w:p w14:paraId="0E3E2575" w14:textId="77777777" w:rsidR="007907A0" w:rsidRPr="006E186D" w:rsidRDefault="00D4123E">
            <w:pPr>
              <w:spacing w:before="40" w:after="40"/>
            </w:pPr>
            <w:r>
              <w:t>GMM (k=4)</w:t>
            </w:r>
          </w:p>
        </w:tc>
        <w:tc>
          <w:tcPr>
            <w:tcW w:w="1800" w:type="dxa"/>
          </w:tcPr>
          <w:p w14:paraId="012FC316" w14:textId="77777777" w:rsidR="007907A0" w:rsidRPr="006E186D" w:rsidRDefault="00D4123E">
            <w:pPr>
              <w:spacing w:before="40" w:after="40"/>
              <w:jc w:val="center"/>
            </w:pPr>
            <w:r>
              <w:t>0.2845</w:t>
            </w:r>
          </w:p>
        </w:tc>
        <w:tc>
          <w:tcPr>
            <w:tcW w:w="2172" w:type="dxa"/>
          </w:tcPr>
          <w:p w14:paraId="205BE4B5" w14:textId="77777777" w:rsidR="007907A0" w:rsidRPr="006E186D" w:rsidRDefault="00D4123E">
            <w:pPr>
              <w:spacing w:before="40" w:after="40"/>
              <w:jc w:val="center"/>
            </w:pPr>
            <w:r>
              <w:t>1.2210</w:t>
            </w:r>
          </w:p>
        </w:tc>
        <w:tc>
          <w:tcPr>
            <w:tcW w:w="2500" w:type="dxa"/>
          </w:tcPr>
          <w:p w14:paraId="0061B2B3" w14:textId="77777777" w:rsidR="007907A0" w:rsidRPr="006E186D" w:rsidRDefault="00D4123E">
            <w:pPr>
              <w:spacing w:before="40" w:after="40"/>
              <w:jc w:val="center"/>
            </w:pPr>
            <w:r>
              <w:t>817.44</w:t>
            </w:r>
          </w:p>
        </w:tc>
      </w:tr>
      <w:tr w:rsidR="007907A0" w:rsidRPr="006E186D" w14:paraId="2331419C" w14:textId="77777777" w:rsidTr="006E186D">
        <w:tc>
          <w:tcPr>
            <w:tcW w:w="2600" w:type="dxa"/>
          </w:tcPr>
          <w:p w14:paraId="10CAEE9F" w14:textId="77777777" w:rsidR="007907A0" w:rsidRPr="006E186D" w:rsidRDefault="00D4123E">
            <w:pPr>
              <w:spacing w:before="40" w:after="40"/>
            </w:pPr>
            <w:r>
              <w:t>AE + K-Means (k=2)</w:t>
            </w:r>
          </w:p>
        </w:tc>
        <w:tc>
          <w:tcPr>
            <w:tcW w:w="1800" w:type="dxa"/>
          </w:tcPr>
          <w:p w14:paraId="54311357" w14:textId="77777777" w:rsidR="007907A0" w:rsidRPr="006E186D" w:rsidRDefault="00D4123E">
            <w:pPr>
              <w:spacing w:before="40" w:after="40"/>
              <w:jc w:val="center"/>
            </w:pPr>
            <w:r>
              <w:t>0.9546</w:t>
            </w:r>
          </w:p>
        </w:tc>
        <w:tc>
          <w:tcPr>
            <w:tcW w:w="2172" w:type="dxa"/>
          </w:tcPr>
          <w:p w14:paraId="79BFD8AD" w14:textId="77777777" w:rsidR="007907A0" w:rsidRPr="006E186D" w:rsidRDefault="00D4123E">
            <w:pPr>
              <w:spacing w:before="40" w:after="40"/>
              <w:jc w:val="center"/>
            </w:pPr>
            <w:r>
              <w:t>0.5192</w:t>
            </w:r>
          </w:p>
        </w:tc>
        <w:tc>
          <w:tcPr>
            <w:tcW w:w="2500" w:type="dxa"/>
          </w:tcPr>
          <w:p w14:paraId="4FE87083" w14:textId="25892330" w:rsidR="007907A0" w:rsidRPr="006E186D" w:rsidRDefault="00D4123E">
            <w:pPr>
              <w:spacing w:before="40" w:after="40"/>
              <w:jc w:val="center"/>
            </w:pPr>
            <w:r>
              <w:t>4381.41</w:t>
            </w:r>
          </w:p>
        </w:tc>
      </w:tr>
    </w:tbl>
    <w:p w14:paraId="33AEC65A" w14:textId="77777777" w:rsidR="007907A0" w:rsidRPr="006E186D" w:rsidRDefault="00D4123E">
      <w:pPr>
        <w:spacing w:line="360" w:lineRule="auto"/>
      </w:pPr>
      <w:r>
        <w:t xml:space="preserve"> </w:t>
      </w:r>
    </w:p>
    <w:p w14:paraId="52FC4BE0" w14:textId="77777777" w:rsidR="007907A0" w:rsidRPr="006E186D" w:rsidRDefault="00D4123E">
      <w:pPr>
        <w:spacing w:line="360" w:lineRule="auto"/>
      </w:pPr>
      <w:r>
        <w:rPr>
          <w:i/>
          <w:iCs/>
        </w:rPr>
        <w:t xml:space="preserve">Fuente: Elaboración propia. ↑ valores mayores son mejores; ↓ valores menores son mejores. AE = Autoencoder. Valores de DBSCAN excluyen los 252 puntos clasificados como ruido. Las métricas de AE + K-Means se calculan sobre el espacio latente, por lo que no son directamente comparables con las del resto de modelos.</w:t>
      </w:r>
    </w:p>
    <w:p w14:paraId="33F7C0C5" w14:textId="77777777" w:rsidR="007907A0" w:rsidRPr="006E186D" w:rsidRDefault="00D4123E">
      <w:pPr>
        <w:spacing w:line="360" w:lineRule="auto"/>
      </w:pPr>
      <w:r>
        <w:t xml:space="preserve"> </w:t>
      </w:r>
    </w:p>
    <w:p w14:paraId="42AB0ABA" w14:textId="5900F773" w:rsidR="007907A0" w:rsidRPr="006E186D" w:rsidRDefault="00D4123E">
      <w:pPr>
        <w:spacing w:line="360" w:lineRule="auto"/>
        <w:jc w:val="both"/>
      </w:pPr>
      <w:r>
        <w:t xml:space="preserve">Los resultados de la Tabla 3 muestran que ningún modelo domina en todas las métricas, por lo que hay que comparar los modelos de forma integrada. El modelo AE + K-Means obtiene el Silhouette más alto (0.9546), pero con solo dos clusters que separan a 13 clientes extremos del resto. Además, sus métricas se calculan en el espacio latente y no en el espacio RFM escalado, por lo que no son directamente comparables con las de los otros modelos: de hecho, K-Means con k = 2 en el espacio RFM original ya alcanzaba un Silhouette de 0.9806. El resultado indica que el espacio latente separa con claridad a los clientes de comportamiento más extremo, en línea con el potencial de los espacios latentes descrito por Hinton y Salakhutdinov (2006) y Xie et al. (2016), pero no demuestra una segmentación más rica. K-Means presenta el Calinski-Harabasz más alto (7921.33). Ese valor se debe a que K</w:t>
      </w:r>
      <w:r>
        <w:rPr>
          <w:rFonts w:ascii="Cambria Math" w:hAnsi="Cambria Math" w:cs="Cambria Math"/>
        </w:rPr>
        <w:t xml:space="preserve">‑</w:t>
      </w:r>
      <w:r>
        <w:t xml:space="preserve">Means usa k = 4 clusters y centroides euclidianos bien definidos sobre el espacio escalado. DBSCAN logra el Davies-Bouldin más bajo (0.3452). La razón es que DBSCAN elimina los 252 puntos de ruido, de modo que el cálculo de la métrica no incluye las observaciones más difíciles de asignar; entre ellas están todos los clientes VIP y Activos Leales identificados por K-Means. GMM tiene los peores valores en las tres métricas, sobre todo en Davies-Bouldin (1.2210). Las fronteras probabilísticas suaves de GMM provocan más solapamiento entre componentes como explica McLachlan &amp; Peel (2000). Si vemos las métricas y la facilidad de interpretación para decisiones de marketing, K-Means con k = 4 se convierte en el modelo de referencia del análisis.</w:t>
      </w:r>
    </w:p>
    <w:p w14:paraId="36C74E26" w14:textId="77777777" w:rsidR="007907A0" w:rsidRPr="006E186D" w:rsidRDefault="00D4123E">
      <w:pPr>
        <w:spacing w:line="360" w:lineRule="auto"/>
      </w:pPr>
      <w:r>
        <w:t xml:space="preserve"> </w:t>
      </w:r>
    </w:p>
    <w:p w14:paraId="087FA0AC" w14:textId="6A3354DB" w:rsidR="007907A0" w:rsidRPr="006E186D" w:rsidRDefault="00D05735" w:rsidP="00200AC8">
      <w:pPr>
        <w:spacing w:line="360" w:lineRule="auto"/>
        <w:jc w:val="both"/>
      </w:pPr>
      <w:r>
        <w:t xml:space="preserve">En cuanto a la reducción de dimensionalidad, PCA muestra que la primera componente principal (PC1) explica el 93.5% de la varianza total del espacio RFM, PC2 el 5.3% y PC3 el 1.2%. El análisis de los pesos (loadings) indica que PC1 está dominada casi exclusivamente por Monetary (peso ≈ 0.99), mientras que PC2 corresponde a Frequency y PC3 a Recency. Esta concentración no se debe a una fuerte correlación entre las tres variables, sino a que, tras el RobustScaler, Monetary conserva una dispersión mucho mayor que las demás (desviación estándar ≈ 6.6, frente a ≈ 1.9 de Frequency y ≈ 0.8 de Recency) a causa de sus valores extremos. En consecuencia, en el espacio escalado las distancias entre clientes, y por tanto los algoritmos basados en distancias, están dominadas por el gasto total. La Figura 1 muestra la proyección bidimensional del espacio RFM coloreada por segmento K-Means.</w:t>
      </w:r>
    </w:p>
    <w:p w14:paraId="4C6132A2" w14:textId="476B5C47" w:rsidR="00200AC8" w:rsidRPr="00200AC8" w:rsidRDefault="00200AC8" w:rsidP="00200AC8">
      <w:pPr>
        <w:pStyle w:val="Descripcin"/>
        <w:keepNext/>
        <w:jc w:val="both"/>
        <w:rPr>
          <w:sz w:val="22"/>
          <w:szCs w:val="22"/>
        </w:rPr>
      </w:pPr>
      <w:r>
        <w:rPr>
          <w:sz w:val="22"/>
          <w:szCs w:val="22"/>
        </w:rPr>
        <w:lastRenderedPageBreak/>
        <w:t xml:space="preserve">Figura </w:t>
        <w:fldChar w:fldCharType="begin"/>
        <w:instrText xml:space="preserve"> SEQ Figura \* ARABIC </w:instrText>
        <w:fldChar w:fldCharType="separate"/>
      </w:r>
      <w:r>
        <w:rPr>
          <w:noProof/>
          <w:sz w:val="22"/>
          <w:szCs w:val="22"/>
        </w:rPr>
        <w:t>1</w:t>
      </w:r>
      <w:r>
        <w:rPr>
          <w:sz w:val="22"/>
          <w:szCs w:val="22"/>
        </w:rPr>
        <w:fldChar w:fldCharType="end"/>
        <w:t>: Proyección PCA 2D de los segmentos obtenidos mediante K-Means (k=4).</w:t>
      </w:r>
    </w:p>
    <w:p w14:paraId="7348461B" w14:textId="4963CA5A" w:rsidR="007907A0" w:rsidRPr="006E186D" w:rsidRDefault="00FE5B44" w:rsidP="00627C7C">
      <w:pPr>
        <w:spacing w:line="360" w:lineRule="auto"/>
        <w:jc w:val="both"/>
      </w:pPr>
      <w:r>
        <w:rPr>
          <w:noProof/>
        </w:rPr>
        <w:drawing>
          <wp:inline distT="0" distB="0" distL="0" distR="0" wp14:anchorId="698993FE" wp14:editId="4BA2992D">
            <wp:extent cx="4953663" cy="328444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0178" cy="3295398"/>
                    </a:xfrm>
                    <a:prstGeom prst="rect">
                      <a:avLst/>
                    </a:prstGeom>
                    <a:noFill/>
                    <a:ln>
                      <a:noFill/>
                    </a:ln>
                  </pic:spPr>
                </pic:pic>
              </a:graphicData>
            </a:graphic>
          </wp:inline>
        </w:drawing>
      </w:r>
    </w:p>
    <w:p w14:paraId="0FC46A3D" w14:textId="77777777" w:rsidR="007907A0" w:rsidRPr="006E186D" w:rsidRDefault="00D4123E">
      <w:pPr>
        <w:spacing w:line="360" w:lineRule="auto"/>
        <w:jc w:val="both"/>
      </w:pPr>
      <w:r>
        <w:rPr>
          <w:i/>
          <w:iCs/>
        </w:rPr>
        <w:t>Fuente: Elaboración propia.</w:t>
      </w:r>
    </w:p>
    <w:p w14:paraId="7D2C647F" w14:textId="77777777" w:rsidR="007907A0" w:rsidRPr="006E186D" w:rsidRDefault="00D4123E">
      <w:pPr>
        <w:spacing w:line="360" w:lineRule="auto"/>
      </w:pPr>
      <w:r>
        <w:t xml:space="preserve"> </w:t>
      </w:r>
    </w:p>
    <w:p w14:paraId="2B186123" w14:textId="6CD32531" w:rsidR="007907A0" w:rsidRPr="006E186D" w:rsidRDefault="009F55C0">
      <w:pPr>
        <w:spacing w:line="360" w:lineRule="auto"/>
        <w:jc w:val="both"/>
      </w:pPr>
      <w:r>
        <w:t xml:space="preserve">En la Figura 1 se observa que la gran mayoría de los clientes se concentra junto al origen, mientras que los clusters de mayor valor se extienden a lo largo de PC1 (que equivale prácticamente a Monetary): primero los Nuevos / Esporádicos, después los Activos Leales y, en el extremo, los VIP. Estos grupos no forman nubes compactas, sino que aparecen dispersos, lo que indica que K-Means divide a los clientes principalmente por tramos de gasto. La proyección t-SNE muestra un resultado coherente: los segmentos de mayor valor se sitúan en un extremo de la nube principal formando un gradiente, sin islas separadas, lo que confirma que son los clientes más alejados de la mayoría, pero también que la transición entre segmentos es continua. El Autoencoder se detuvo en 61 épocas (de 150 configuradas) con una pérdida de validación MSE mínima de 0.6368; la pérdida de validación no crece de forma sostenida, por lo que no hay señales de sobreajuste. En el espacio latente tridimensional, K-Means encontró k = 2 como óptimo (Silhouette = 0.9559), separando 13 clientes de comportamiento extremo (0.3 %), los 5 VIP y 8 de los 23 Activos Leales, de los 4 325 restantes (99.7 %). El espacio latente aísla así con mucha claridad a los clientes de mayor valor, aunque esta solución de dos grupos no aporta más detalle para segmentar que los métodos clásicos.</w:t>
      </w:r>
    </w:p>
    <w:p w14:paraId="61533F13" w14:textId="77777777" w:rsidR="007907A0" w:rsidRPr="006E186D" w:rsidRDefault="00D4123E">
      <w:pPr>
        <w:spacing w:line="360" w:lineRule="auto"/>
      </w:pPr>
      <w:r>
        <w:t xml:space="preserve"> </w:t>
      </w:r>
    </w:p>
    <w:p w14:paraId="51A7A10E" w14:textId="77777777" w:rsidR="007907A0" w:rsidRPr="006E186D" w:rsidRDefault="00D4123E">
      <w:pPr>
        <w:spacing w:line="360" w:lineRule="auto"/>
        <w:jc w:val="both"/>
      </w:pPr>
      <w:r>
        <w:t>La Tabla 4 presenta el perfil de los cuatro segmentos identificados por K-Means, modelo de referencia del análisis, caracterizados por la mediana de las variables RFM.</w:t>
      </w:r>
    </w:p>
    <w:p w14:paraId="26DA782B" w14:textId="77777777" w:rsidR="007907A0" w:rsidRPr="006E186D" w:rsidRDefault="00D4123E">
      <w:pPr>
        <w:spacing w:line="360" w:lineRule="auto"/>
      </w:pPr>
      <w:r>
        <w:t xml:space="preserve"> </w:t>
      </w:r>
    </w:p>
    <w:p w14:paraId="2640DA8C" w14:textId="77777777" w:rsidR="007907A0" w:rsidRPr="006E186D" w:rsidRDefault="00D4123E">
      <w:pPr>
        <w:spacing w:line="360" w:lineRule="auto"/>
        <w:jc w:val="center"/>
      </w:pPr>
      <w:r>
        <w:rPr>
          <w:b/>
          <w:bCs/>
        </w:rPr>
        <w:t>Tabla 4. Perfil de los cuatro segmentos de clientes (K-Means, k = 4)</w:t>
      </w:r>
    </w:p>
    <w:p w14:paraId="210CE6EE" w14:textId="77777777" w:rsidR="007907A0" w:rsidRPr="006E186D" w:rsidRDefault="00D4123E">
      <w:pPr>
        <w:spacing w:line="360" w:lineRule="auto"/>
      </w:pPr>
      <w:r>
        <w:t xml:space="preserve"> </w:t>
      </w:r>
    </w:p>
    <w:tbl>
      <w:tblPr>
        <w:tblStyle w:val="Tablaconcuadrcula"/>
        <w:tblW w:w="9072" w:type="dxa"/>
        <w:tblLook w:val="0000" w:firstRow="0" w:lastRow="0" w:firstColumn="0" w:lastColumn="0" w:noHBand="0" w:noVBand="0"/>
      </w:tblPr>
      <w:tblGrid>
        <w:gridCol w:w="2727"/>
        <w:gridCol w:w="770"/>
        <w:gridCol w:w="916"/>
        <w:gridCol w:w="1418"/>
        <w:gridCol w:w="1714"/>
        <w:gridCol w:w="1527"/>
      </w:tblGrid>
      <w:tr w:rsidR="007907A0" w:rsidRPr="006E186D" w14:paraId="479C8FB2" w14:textId="77777777" w:rsidTr="006E186D">
        <w:tc>
          <w:tcPr>
            <w:tcW w:w="2500" w:type="dxa"/>
          </w:tcPr>
          <w:p w14:paraId="0704098A" w14:textId="77777777" w:rsidR="007907A0" w:rsidRPr="006E186D" w:rsidRDefault="00D4123E">
            <w:pPr>
              <w:spacing w:before="40" w:after="40"/>
              <w:jc w:val="center"/>
            </w:pPr>
            <w:r>
              <w:rPr>
                <w:b/>
                <w:bCs/>
              </w:rPr>
              <w:lastRenderedPageBreak/>
              <w:t>Segmento</w:t>
            </w:r>
          </w:p>
        </w:tc>
        <w:tc>
          <w:tcPr>
            <w:tcW w:w="600" w:type="dxa"/>
          </w:tcPr>
          <w:p w14:paraId="40EE94C7" w14:textId="77777777" w:rsidR="007907A0" w:rsidRPr="006E186D" w:rsidRDefault="00D4123E">
            <w:pPr>
              <w:spacing w:before="40" w:after="40"/>
              <w:jc w:val="center"/>
            </w:pPr>
            <w:r>
              <w:rPr>
                <w:b/>
                <w:bCs/>
              </w:rPr>
              <w:t>n</w:t>
            </w:r>
          </w:p>
        </w:tc>
        <w:tc>
          <w:tcPr>
            <w:tcW w:w="700" w:type="dxa"/>
          </w:tcPr>
          <w:p w14:paraId="1BCE5F20" w14:textId="77777777" w:rsidR="007907A0" w:rsidRPr="006E186D" w:rsidRDefault="00D4123E">
            <w:pPr>
              <w:spacing w:before="40" w:after="40"/>
              <w:jc w:val="center"/>
            </w:pPr>
            <w:r>
              <w:rPr>
                <w:b/>
                <w:bCs/>
              </w:rPr>
              <w:t>%</w:t>
            </w:r>
          </w:p>
        </w:tc>
        <w:tc>
          <w:tcPr>
            <w:tcW w:w="1300" w:type="dxa"/>
          </w:tcPr>
          <w:p w14:paraId="57241761" w14:textId="77777777" w:rsidR="007907A0" w:rsidRPr="006E186D" w:rsidRDefault="00D4123E">
            <w:pPr>
              <w:spacing w:before="40" w:after="40"/>
              <w:jc w:val="center"/>
            </w:pPr>
            <w:r>
              <w:rPr>
                <w:b/>
                <w:bCs/>
              </w:rPr>
              <w:t>Recency med.</w:t>
            </w:r>
          </w:p>
        </w:tc>
        <w:tc>
          <w:tcPr>
            <w:tcW w:w="1572" w:type="dxa"/>
          </w:tcPr>
          <w:p w14:paraId="1EA1CC64" w14:textId="77777777" w:rsidR="007907A0" w:rsidRPr="006E186D" w:rsidRDefault="00D4123E">
            <w:pPr>
              <w:spacing w:before="40" w:after="40"/>
              <w:jc w:val="center"/>
            </w:pPr>
            <w:r>
              <w:rPr>
                <w:b/>
                <w:bCs/>
              </w:rPr>
              <w:t>Frequency med.</w:t>
            </w:r>
          </w:p>
        </w:tc>
        <w:tc>
          <w:tcPr>
            <w:tcW w:w="1400" w:type="dxa"/>
          </w:tcPr>
          <w:p w14:paraId="402ADE3D" w14:textId="77777777" w:rsidR="007907A0" w:rsidRPr="006E186D" w:rsidRDefault="00D4123E">
            <w:pPr>
              <w:spacing w:before="40" w:after="40"/>
              <w:jc w:val="center"/>
            </w:pPr>
            <w:r>
              <w:rPr>
                <w:b/>
                <w:bCs/>
              </w:rPr>
              <w:t>Monetary med.</w:t>
            </w:r>
          </w:p>
        </w:tc>
      </w:tr>
      <w:tr w:rsidR="007907A0" w:rsidRPr="006E186D" w14:paraId="1ACD933F" w14:textId="77777777" w:rsidTr="006E186D">
        <w:tc>
          <w:tcPr>
            <w:tcW w:w="2500" w:type="dxa"/>
          </w:tcPr>
          <w:p w14:paraId="5C4168B8" w14:textId="77777777" w:rsidR="007907A0" w:rsidRPr="006E186D" w:rsidRDefault="00D4123E">
            <w:pPr>
              <w:spacing w:before="40" w:after="40"/>
            </w:pPr>
            <w:r>
              <w:t>VIP / Champions</w:t>
            </w:r>
          </w:p>
        </w:tc>
        <w:tc>
          <w:tcPr>
            <w:tcW w:w="600" w:type="dxa"/>
          </w:tcPr>
          <w:p w14:paraId="545B3881" w14:textId="77777777" w:rsidR="007907A0" w:rsidRPr="006E186D" w:rsidRDefault="00D4123E">
            <w:pPr>
              <w:spacing w:before="40" w:after="40"/>
              <w:jc w:val="center"/>
            </w:pPr>
            <w:r>
              <w:t>5</w:t>
            </w:r>
          </w:p>
        </w:tc>
        <w:tc>
          <w:tcPr>
            <w:tcW w:w="700" w:type="dxa"/>
          </w:tcPr>
          <w:p w14:paraId="4A9388A6" w14:textId="77777777" w:rsidR="007907A0" w:rsidRPr="006E186D" w:rsidRDefault="00D4123E">
            <w:pPr>
              <w:spacing w:before="40" w:after="40"/>
              <w:jc w:val="center"/>
            </w:pPr>
            <w:r>
              <w:t>0.1%</w:t>
            </w:r>
          </w:p>
        </w:tc>
        <w:tc>
          <w:tcPr>
            <w:tcW w:w="1300" w:type="dxa"/>
          </w:tcPr>
          <w:p w14:paraId="18EE35B4" w14:textId="77777777" w:rsidR="007907A0" w:rsidRPr="006E186D" w:rsidRDefault="00D4123E">
            <w:pPr>
              <w:spacing w:before="40" w:after="40"/>
              <w:jc w:val="center"/>
            </w:pPr>
            <w:r>
              <w:t>1 día</w:t>
            </w:r>
          </w:p>
        </w:tc>
        <w:tc>
          <w:tcPr>
            <w:tcW w:w="1572" w:type="dxa"/>
          </w:tcPr>
          <w:p w14:paraId="058EF55D" w14:textId="77777777" w:rsidR="007907A0" w:rsidRPr="006E186D" w:rsidRDefault="00D4123E">
            <w:pPr>
              <w:spacing w:before="40" w:after="40"/>
              <w:jc w:val="center"/>
            </w:pPr>
            <w:r>
              <w:t>60 pedidos</w:t>
            </w:r>
          </w:p>
        </w:tc>
        <w:tc>
          <w:tcPr>
            <w:tcW w:w="1400" w:type="dxa"/>
          </w:tcPr>
          <w:p w14:paraId="5867A263" w14:textId="77777777" w:rsidR="007907A0" w:rsidRPr="006E186D" w:rsidRDefault="00D4123E">
            <w:pPr>
              <w:spacing w:before="40" w:after="40"/>
              <w:jc w:val="center"/>
            </w:pPr>
            <w:r>
              <w:t>£194,390</w:t>
            </w:r>
          </w:p>
        </w:tc>
      </w:tr>
      <w:tr w:rsidR="007907A0" w:rsidRPr="006E186D" w14:paraId="510A299D" w14:textId="77777777" w:rsidTr="006E186D">
        <w:tc>
          <w:tcPr>
            <w:tcW w:w="2500" w:type="dxa"/>
          </w:tcPr>
          <w:p w14:paraId="5B96A536" w14:textId="77777777" w:rsidR="007907A0" w:rsidRPr="006E186D" w:rsidRDefault="00D4123E">
            <w:pPr>
              <w:spacing w:before="40" w:after="40"/>
            </w:pPr>
            <w:r>
              <w:t>Clientes Activos Leales</w:t>
            </w:r>
          </w:p>
        </w:tc>
        <w:tc>
          <w:tcPr>
            <w:tcW w:w="600" w:type="dxa"/>
          </w:tcPr>
          <w:p w14:paraId="3D4CF3D7" w14:textId="77777777" w:rsidR="007907A0" w:rsidRPr="006E186D" w:rsidRDefault="00D4123E">
            <w:pPr>
              <w:spacing w:before="40" w:after="40"/>
              <w:jc w:val="center"/>
            </w:pPr>
            <w:r>
              <w:t>23</w:t>
            </w:r>
          </w:p>
        </w:tc>
        <w:tc>
          <w:tcPr>
            <w:tcW w:w="700" w:type="dxa"/>
          </w:tcPr>
          <w:p w14:paraId="4C33562C" w14:textId="77777777" w:rsidR="007907A0" w:rsidRPr="006E186D" w:rsidRDefault="00D4123E">
            <w:pPr>
              <w:spacing w:before="40" w:after="40"/>
              <w:jc w:val="center"/>
            </w:pPr>
            <w:r>
              <w:t>0.5%</w:t>
            </w:r>
          </w:p>
        </w:tc>
        <w:tc>
          <w:tcPr>
            <w:tcW w:w="1300" w:type="dxa"/>
          </w:tcPr>
          <w:p w14:paraId="687DB25E" w14:textId="77777777" w:rsidR="007907A0" w:rsidRPr="006E186D" w:rsidRDefault="00D4123E">
            <w:pPr>
              <w:spacing w:before="40" w:after="40"/>
              <w:jc w:val="center"/>
            </w:pPr>
            <w:r>
              <w:t>4 días</w:t>
            </w:r>
          </w:p>
        </w:tc>
        <w:tc>
          <w:tcPr>
            <w:tcW w:w="1572" w:type="dxa"/>
          </w:tcPr>
          <w:p w14:paraId="3930BEEE" w14:textId="77777777" w:rsidR="007907A0" w:rsidRPr="006E186D" w:rsidRDefault="00D4123E">
            <w:pPr>
              <w:spacing w:before="40" w:after="40"/>
              <w:jc w:val="center"/>
            </w:pPr>
            <w:r>
              <w:t>45 pedidos</w:t>
            </w:r>
          </w:p>
        </w:tc>
        <w:tc>
          <w:tcPr>
            <w:tcW w:w="1400" w:type="dxa"/>
          </w:tcPr>
          <w:p w14:paraId="1E1970D4" w14:textId="77777777" w:rsidR="007907A0" w:rsidRPr="006E186D" w:rsidRDefault="00D4123E">
            <w:pPr>
              <w:spacing w:before="40" w:after="40"/>
              <w:jc w:val="center"/>
            </w:pPr>
            <w:r>
              <w:t>£56,252</w:t>
            </w:r>
          </w:p>
        </w:tc>
      </w:tr>
      <w:tr w:rsidR="007907A0" w:rsidRPr="006E186D" w14:paraId="752F8396" w14:textId="77777777" w:rsidTr="006E186D">
        <w:tc>
          <w:tcPr>
            <w:tcW w:w="2500" w:type="dxa"/>
          </w:tcPr>
          <w:p w14:paraId="0DEB5982" w14:textId="77777777" w:rsidR="007907A0" w:rsidRPr="006E186D" w:rsidRDefault="00D4123E">
            <w:pPr>
              <w:spacing w:before="40" w:after="40"/>
            </w:pPr>
            <w:r>
              <w:t>Clientes Nuevos / Esporádicos</w:t>
            </w:r>
          </w:p>
        </w:tc>
        <w:tc>
          <w:tcPr>
            <w:tcW w:w="600" w:type="dxa"/>
          </w:tcPr>
          <w:p w14:paraId="18D5922B" w14:textId="77777777" w:rsidR="007907A0" w:rsidRPr="006E186D" w:rsidRDefault="00D4123E">
            <w:pPr>
              <w:spacing w:before="40" w:after="40"/>
              <w:jc w:val="center"/>
            </w:pPr>
            <w:r>
              <w:t>268</w:t>
            </w:r>
          </w:p>
        </w:tc>
        <w:tc>
          <w:tcPr>
            <w:tcW w:w="700" w:type="dxa"/>
          </w:tcPr>
          <w:p w14:paraId="5455291A" w14:textId="77777777" w:rsidR="007907A0" w:rsidRPr="006E186D" w:rsidRDefault="00D4123E">
            <w:pPr>
              <w:spacing w:before="40" w:after="40"/>
              <w:jc w:val="center"/>
            </w:pPr>
            <w:r>
              <w:t>6.2%</w:t>
            </w:r>
          </w:p>
        </w:tc>
        <w:tc>
          <w:tcPr>
            <w:tcW w:w="1300" w:type="dxa"/>
          </w:tcPr>
          <w:p w14:paraId="6216AE19" w14:textId="77777777" w:rsidR="007907A0" w:rsidRPr="006E186D" w:rsidRDefault="00D4123E">
            <w:pPr>
              <w:spacing w:before="40" w:after="40"/>
              <w:jc w:val="center"/>
            </w:pPr>
            <w:r>
              <w:t>9 días</w:t>
            </w:r>
          </w:p>
        </w:tc>
        <w:tc>
          <w:tcPr>
            <w:tcW w:w="1572" w:type="dxa"/>
          </w:tcPr>
          <w:p w14:paraId="1B21E541" w14:textId="77777777" w:rsidR="007907A0" w:rsidRPr="006E186D" w:rsidRDefault="00D4123E">
            <w:pPr>
              <w:spacing w:before="40" w:after="40"/>
              <w:jc w:val="center"/>
            </w:pPr>
            <w:r>
              <w:t>15 pedidos</w:t>
            </w:r>
          </w:p>
        </w:tc>
        <w:tc>
          <w:tcPr>
            <w:tcW w:w="1400" w:type="dxa"/>
          </w:tcPr>
          <w:p w14:paraId="7E649EDD" w14:textId="77777777" w:rsidR="007907A0" w:rsidRPr="006E186D" w:rsidRDefault="00D4123E">
            <w:pPr>
              <w:spacing w:before="40" w:after="40"/>
              <w:jc w:val="center"/>
            </w:pPr>
            <w:r>
              <w:t>£7,052</w:t>
            </w:r>
          </w:p>
        </w:tc>
      </w:tr>
      <w:tr w:rsidR="007907A0" w:rsidRPr="006E186D" w14:paraId="22F786A5" w14:textId="77777777" w:rsidTr="006E186D">
        <w:tc>
          <w:tcPr>
            <w:tcW w:w="2500" w:type="dxa"/>
          </w:tcPr>
          <w:p w14:paraId="3AD802B6" w14:textId="77777777" w:rsidR="007907A0" w:rsidRPr="006E186D" w:rsidRDefault="00D4123E">
            <w:pPr>
              <w:spacing w:before="40" w:after="40"/>
            </w:pPr>
            <w:r>
              <w:t>Clientes en Riesgo / Dormidos</w:t>
            </w:r>
          </w:p>
        </w:tc>
        <w:tc>
          <w:tcPr>
            <w:tcW w:w="600" w:type="dxa"/>
          </w:tcPr>
          <w:p w14:paraId="0BECC548" w14:textId="1917A6C8" w:rsidR="007907A0" w:rsidRPr="006E186D" w:rsidRDefault="00D4123E">
            <w:pPr>
              <w:spacing w:before="40" w:after="40"/>
              <w:jc w:val="center"/>
            </w:pPr>
            <w:r>
              <w:t>4042</w:t>
            </w:r>
          </w:p>
        </w:tc>
        <w:tc>
          <w:tcPr>
            <w:tcW w:w="700" w:type="dxa"/>
          </w:tcPr>
          <w:p w14:paraId="1559015F" w14:textId="77777777" w:rsidR="007907A0" w:rsidRPr="006E186D" w:rsidRDefault="00D4123E">
            <w:pPr>
              <w:spacing w:before="40" w:after="40"/>
              <w:jc w:val="center"/>
            </w:pPr>
            <w:r>
              <w:t>93.2%</w:t>
            </w:r>
          </w:p>
        </w:tc>
        <w:tc>
          <w:tcPr>
            <w:tcW w:w="1300" w:type="dxa"/>
          </w:tcPr>
          <w:p w14:paraId="1296656B" w14:textId="77777777" w:rsidR="007907A0" w:rsidRPr="006E186D" w:rsidRDefault="00D4123E">
            <w:pPr>
              <w:spacing w:before="40" w:after="40"/>
              <w:jc w:val="center"/>
            </w:pPr>
            <w:r>
              <w:t>57 días</w:t>
            </w:r>
          </w:p>
        </w:tc>
        <w:tc>
          <w:tcPr>
            <w:tcW w:w="1572" w:type="dxa"/>
          </w:tcPr>
          <w:p w14:paraId="2EBD6D6C" w14:textId="77777777" w:rsidR="007907A0" w:rsidRPr="006E186D" w:rsidRDefault="00D4123E">
            <w:pPr>
              <w:spacing w:before="40" w:after="40"/>
              <w:jc w:val="center"/>
            </w:pPr>
            <w:r>
              <w:t>2 pedidos</w:t>
            </w:r>
          </w:p>
        </w:tc>
        <w:tc>
          <w:tcPr>
            <w:tcW w:w="1400" w:type="dxa"/>
          </w:tcPr>
          <w:p w14:paraId="341BA0E0" w14:textId="77777777" w:rsidR="007907A0" w:rsidRPr="006E186D" w:rsidRDefault="00D4123E">
            <w:pPr>
              <w:spacing w:before="40" w:after="40"/>
              <w:jc w:val="center"/>
            </w:pPr>
            <w:r>
              <w:t>£609</w:t>
            </w:r>
          </w:p>
        </w:tc>
      </w:tr>
    </w:tbl>
    <w:p w14:paraId="0CF5368B" w14:textId="77777777" w:rsidR="007907A0" w:rsidRPr="006E186D" w:rsidRDefault="00D4123E">
      <w:pPr>
        <w:spacing w:line="360" w:lineRule="auto"/>
      </w:pPr>
      <w:r>
        <w:t xml:space="preserve"> </w:t>
      </w:r>
    </w:p>
    <w:p w14:paraId="363A3ABA" w14:textId="77777777" w:rsidR="007907A0" w:rsidRPr="006E186D" w:rsidRDefault="00D4123E">
      <w:pPr>
        <w:spacing w:line="360" w:lineRule="auto"/>
      </w:pPr>
      <w:r>
        <w:rPr>
          <w:i/>
          <w:iCs/>
        </w:rPr>
        <w:t>Fuente: Elaboración propia. Fecha de referencia: 2011-12-10. Monetary en libras esterlinas (£).</w:t>
      </w:r>
    </w:p>
    <w:p w14:paraId="72EBCF4E" w14:textId="77777777" w:rsidR="007907A0" w:rsidRPr="006E186D" w:rsidRDefault="00D4123E">
      <w:pPr>
        <w:spacing w:line="360" w:lineRule="auto"/>
      </w:pPr>
      <w:r>
        <w:t xml:space="preserve"> </w:t>
      </w:r>
    </w:p>
    <w:p w14:paraId="5B7CC617" w14:textId="5A0E7668" w:rsidR="007907A0" w:rsidRPr="006E186D" w:rsidRDefault="00D4123E">
      <w:pPr>
        <w:spacing w:line="360" w:lineRule="auto"/>
        <w:jc w:val="both"/>
      </w:pPr>
      <w:r>
        <w:t xml:space="preserve">Como se ve en la Tabla 4, el </w:t>
      </w:r>
      <w:r>
        <w:rPr>
          <w:b/>
          <w:bCs/>
        </w:rPr>
        <w:t xml:space="preserve">segmento VIP / Champions</w:t>
      </w:r>
      <w:r>
        <w:t xml:space="preserve"> (n=5, 0.1%) tiene a los cinco clientes de mayor valor absoluto: con Recency de 1 día, Frequency de 60 pedidos y Monetary mediano de £194,390. El valor monetario medio de este segmento (£209,287) es más de 300 veces la mediana global de la base (£668.57). Este perfil corresponde a distribuidores o compradores corporativos que compran mucho y de forma frecuente. Como perder a un solo cliente de este grupo equivale, en gasto, a perder unos 210 clientes del segmento mayoritario (cuyo gasto medio es de £994), las estrategias de retención deben ser incondicionales: programas exclusivos de fidelización, acceso anticipado a nuevos productos y atención personalizada con un gestor de cuenta dedicado.</w:t>
      </w:r>
    </w:p>
    <w:p w14:paraId="5CC849C7" w14:textId="77777777" w:rsidR="007907A0" w:rsidRPr="006E186D" w:rsidRDefault="00D4123E">
      <w:pPr>
        <w:spacing w:line="360" w:lineRule="auto"/>
      </w:pPr>
      <w:r>
        <w:t xml:space="preserve"> </w:t>
      </w:r>
    </w:p>
    <w:p w14:paraId="0AC346F1" w14:textId="40BDA171" w:rsidR="007907A0" w:rsidRPr="006E186D" w:rsidRDefault="00D4123E">
      <w:pPr>
        <w:spacing w:line="360" w:lineRule="auto"/>
        <w:jc w:val="both"/>
      </w:pPr>
      <w:r>
        <w:t xml:space="preserve">El </w:t>
      </w:r>
      <w:r>
        <w:rPr>
          <w:b/>
          <w:bCs/>
        </w:rPr>
        <w:t xml:space="preserve">segmento Clientes Activos Leales</w:t>
      </w:r>
      <w:r>
        <w:t xml:space="preserve"> (n=23, 0.5%) tiene Recency de 4 días, Frequency de 45 pedidos y Monetary de £56,252. La alta recencia y frecuencia, junto con un valor monetario menor que el segmento VIP, forman un perfil de comprador comprometido con potencial de subir al estatus superior mediante estrategias de upselling, cross-selling y programas de recompensa acumulativa. El segmento </w:t>
      </w:r>
      <w:r>
        <w:rPr>
          <w:b/>
          <w:bCs/>
        </w:rPr>
        <w:t xml:space="preserve">Clientes Nuevos / Esporádicos</w:t>
      </w:r>
      <w:r>
        <w:t xml:space="preserve"> (n=268, 6.2%) muestra Recency de 9 días, Frequency de 15 pedidos y Monetary de £7,052. Su etiqueta es relativa a los segmentos VIP y Activos Leales: frente al cliente típico de la base (mediana de 2 pedidos y £668.57), estos clientes compran unas 7.5 veces más a menudo y gastan unas 10 veces más, por lo que en la práctica son clientes recurrentes de valor medio-alto que, en conjunto, generan el 27.4% del gasto total. La estrategia prioritaria para este segmento es consolidar y aumentar su recurrencia: comunicaciones personalizadas, incentivos por volumen y estrategias de publicidad en línea. Finalmente, el </w:t>
      </w:r>
      <w:r>
        <w:rPr>
          <w:b/>
          <w:bCs/>
        </w:rPr>
        <w:t xml:space="preserve">segmento Clientes en Riesgo / Dormidos</w:t>
      </w:r>
      <w:r>
        <w:t xml:space="preserve"> (n=4,042) agrupa al 93.2 % de la base, con Recency de 57 días, Frequency de 2 pedidos y Monetary de £609. Es un segmento heterogéneo, que incluye tanto clientes realmente inactivos como compradores ocasionales recientes, y que aun así aporta el 45.2% del gasto total. Necesita campañas automatizadas de reactivación de bajo costo, con incentivos ajustados al valor histórico de cada cliente y encuestas de satisfacción para identificar causas de abandono.</w:t>
      </w:r>
    </w:p>
    <w:p w14:paraId="00853165" w14:textId="77777777" w:rsidR="007907A0" w:rsidRPr="006E186D" w:rsidRDefault="00D4123E">
      <w:pPr>
        <w:spacing w:line="360" w:lineRule="auto"/>
      </w:pPr>
      <w:r>
        <w:t xml:space="preserve"> </w:t>
      </w:r>
    </w:p>
    <w:p w14:paraId="10C498C1" w14:textId="2BA9A50F" w:rsidR="007907A0" w:rsidRPr="006E186D" w:rsidRDefault="00D4123E">
      <w:pPr>
        <w:spacing w:line="360" w:lineRule="auto"/>
        <w:jc w:val="both"/>
      </w:pPr>
      <w:r>
        <w:t xml:space="preserve">La distribución sigue el principio de Pareto: los 296 clientes de los segmentos VIP, Activos Leales y Nuevos / Esporádicos (6.8 % del total) generan el 54.8 % del gasto total, mientras que el 93.2 % restante (Clientes en Riesgo / Dormidos) aporta el 45.2 %. Dentro de ese grupo, solo los 28 clientes VIP y Activos Leales (0.6 %) concentran el 27.4 % del gasto. En estudios anteriores, Chen et al. (2012) encontraron una distribución similar al aplicar RFM + clustering a datos de e-commerce, señalando que entre el 1% y el 5% de los clientes generan más del 50% del valor total. Nuestro análisis confirma este patrón: menos del 7% de los clientes genera más de la mitad del valor, por lo que enfocar los recursos de retención en este grupo es la acción con mayor retorno para el negocio. Desde el marketing digital, los cuatro segmentos identificados permiten crear cuatro flujos de comunicación diferentes en la plataforma CRM, con mensajes, frecuencias y niveles de incentivo adaptados al comportamiento de cada grupo, integrando directamente los resultados en el archivo </w:t>
      </w:r>
      <w:r>
        <w:rPr>
          <w:i/>
          <w:iCs/>
        </w:rPr>
        <w:t xml:space="preserve">rfm_segmented.csv</w:t>
      </w:r>
      <w:r>
        <w:t xml:space="preserve"> con los sistemas de automatización de marketing.</w:t>
      </w:r>
    </w:p>
    <w:p w14:paraId="6124EC45" w14:textId="77777777" w:rsidR="007907A0" w:rsidRPr="006E186D" w:rsidRDefault="00D4123E">
      <w:pPr>
        <w:spacing w:line="360" w:lineRule="auto"/>
      </w:pPr>
      <w:r>
        <w:t xml:space="preserve"> </w:t>
      </w:r>
    </w:p>
    <w:p w14:paraId="6088F555" w14:textId="77777777" w:rsidR="007907A0" w:rsidRPr="006E186D" w:rsidRDefault="00D4123E">
      <w:pPr>
        <w:spacing w:line="360" w:lineRule="auto"/>
      </w:pPr>
      <w:r>
        <w:br/>
      </w:r>
    </w:p>
    <w:p w14:paraId="0138B35F" w14:textId="77777777" w:rsidR="007907A0" w:rsidRPr="006E186D" w:rsidRDefault="00D4123E">
      <w:pPr>
        <w:pStyle w:val="Ttulo1"/>
      </w:pPr>
      <w:r>
        <w:t>4. CONCLUSIONES</w:t>
      </w:r>
    </w:p>
    <w:p w14:paraId="7745EFCB" w14:textId="77777777" w:rsidR="007907A0" w:rsidRPr="006E186D" w:rsidRDefault="00D4123E">
      <w:pPr>
        <w:spacing w:line="360" w:lineRule="auto"/>
      </w:pPr>
      <w:r>
        <w:t xml:space="preserve"> </w:t>
      </w:r>
    </w:p>
    <w:p w14:paraId="510D25FF" w14:textId="671AE3E4" w:rsidR="007907A0" w:rsidRPr="006E186D" w:rsidRDefault="00D4123E">
      <w:pPr>
        <w:spacing w:line="360" w:lineRule="auto"/>
        <w:jc w:val="both"/>
      </w:pPr>
      <w:r>
        <w:t xml:space="preserve">Este trabajo mostró que combinar el modelo RFM con clustering clásico y aprendizaje profundo es viable y útil para identificar perfiles de clientes en un dataset de comercio electrónico real. K-Means con k = 4 ofreció el mejor equilibrio entre calidad estadística — Silhouette = 0,7451, Calinski</w:t>
      </w:r>
      <w:r>
        <w:rPr>
          <w:rFonts w:ascii="Cambria Math" w:hAnsi="Cambria Math" w:cs="Cambria Math"/>
        </w:rPr>
        <w:t xml:space="preserve">‑</w:t>
      </w:r>
      <w:r>
        <w:t xml:space="preserve">Harabasz = 7 921,33— e interpretabilidad para marketing digital, generando cuatro segmentos con características distintas y accionables. El modelo Autoencoder + K-Means obtuvo el Silhouette más alto en el espacio latente (0,9546), pero con solo dos grupos y en un espacio distinto al de K-Means, por lo que su valor no es directamente comparable: su principal aporte fue aislar con gran claridad a los 13 clientes de comportamiento más extremo. Esto es coherente con el potencial de las representaciones latentes descrito por Hinton y Salakhutdinov (2006) y Xie et al. (2016), aunque con solo tres variables de entrada no produjo una segmentación más rica que la de los métodos clásicos.</w:t>
      </w:r>
    </w:p>
    <w:p w14:paraId="0077988F" w14:textId="77777777" w:rsidR="007907A0" w:rsidRPr="006E186D" w:rsidRDefault="00D4123E">
      <w:pPr>
        <w:spacing w:line="360" w:lineRule="auto"/>
      </w:pPr>
      <w:r>
        <w:t xml:space="preserve"> </w:t>
      </w:r>
    </w:p>
    <w:p w14:paraId="07244F2A" w14:textId="4F461CC3" w:rsidR="007907A0" w:rsidRPr="006E186D" w:rsidRDefault="00D4123E">
      <w:pPr>
        <w:spacing w:line="360" w:lineRule="auto"/>
        <w:jc w:val="both"/>
      </w:pPr>
      <w:r>
        <w:t xml:space="preserve">El hallazgo más importante para decidir en el negocio es que el 6.8% de los clientes (VIP, Activos Leales y Nuevos / Esporádicos) genera el 54.8% del dinero, mientras que el 93.2% restante aporta el 45.2%; solo los 28 clientes VIP y Activos Leales (0.6%) concentran el 27.4%. Por eso hay que dedicar los recursos de retención a esos clientes de alto valor y usar sistemas automáticos que detecten a tiempo señales de abandono en los clientes de riesgo. El análisis mostró también que el 93.5% de la varianza del espacio RFM escalado se concentra en una sola componente principal, que corresponde casi por completo a Monetary; esto indica que, tras el escalado, el gasto total domina las distancias entre clientes, por lo que las tres variables RFM deben interpretarse conjuntamente para diseñar estrategias de marketing diferentes.</w:t>
      </w:r>
    </w:p>
    <w:p w14:paraId="16FDADFE" w14:textId="77777777" w:rsidR="007907A0" w:rsidRPr="006E186D" w:rsidRDefault="00D4123E">
      <w:pPr>
        <w:spacing w:line="360" w:lineRule="auto"/>
      </w:pPr>
      <w:r>
        <w:lastRenderedPageBreak/>
        <w:t xml:space="preserve"> </w:t>
      </w:r>
    </w:p>
    <w:p w14:paraId="1D089CF0" w14:textId="27A8C449" w:rsidR="007907A0" w:rsidRPr="006E186D" w:rsidRDefault="00D4123E">
      <w:pPr>
        <w:spacing w:line="360" w:lineRule="auto"/>
        <w:jc w:val="both"/>
      </w:pPr>
      <w:r>
        <w:t xml:space="preserve">Desde el punto de vista del marketing digital, los resultados entregan un archivo de segmentación listo para usar: contiene el segmento asignado, las coordenadas en el espacio reducido y las variables RFM para cada uno de los 4 338 clientes. Ese archivo se puede cargar directamente en un CRM o en una plataforma de automatización de marketing sin crear nada nuevo. Como próximos pasos se sugiere: crear series temporales RFM para seguir la evolución de cada cliente y detectar ascensos o abandonos con clasificación supervisada; añadir más variables (categoría de producto, canal de acceso, país) para obtener segmentaciones más detalladas; aplicar el método de </w:t>
      </w:r>
      <w:r>
        <w:rPr>
          <w:i/>
          <w:iCs/>
        </w:rPr>
        <w:t xml:space="preserve">Deep Embedded Clustering</w:t>
      </w:r>
      <w:r>
        <w:t xml:space="preserve"> (Xie et al., 2016) para mejorar la representación latente y la coherencia de los grupos; y automatizar el proceso con reentrenamientos periódicos integrados en el CRM para mantener los segmentos actualizados a medida que cambian los hábitos de compra.</w:t>
      </w:r>
    </w:p>
    <w:p w14:paraId="4441685A" w14:textId="1456B88A" w:rsidR="007907A0" w:rsidRPr="006E186D" w:rsidRDefault="00D4123E">
      <w:pPr>
        <w:spacing w:line="360" w:lineRule="auto"/>
      </w:pPr>
      <w:r>
        <w:t xml:space="preserve"> </w:t>
        <w:br/>
      </w:r>
    </w:p>
    <w:p w14:paraId="2F5F9571" w14:textId="77777777" w:rsidR="00FE5B44" w:rsidRDefault="00FE5B44">
      <w:pPr>
        <w:rPr>
          <w:b/>
          <w:bCs/>
        </w:rPr>
      </w:pPr>
      <w:r>
        <w:rPr>
          <w:b/>
          <w:bCs/>
        </w:rPr>
        <w:br w:type="page"/>
      </w:r>
    </w:p>
    <w:p w14:paraId="1C4D13E6" w14:textId="5DF23171" w:rsidR="007907A0" w:rsidRPr="006E186D" w:rsidRDefault="00D4123E">
      <w:pPr>
        <w:spacing w:line="360" w:lineRule="auto"/>
        <w:jc w:val="center"/>
      </w:pPr>
      <w:r>
        <w:rPr>
          <w:b/>
          <w:bCs/>
        </w:rPr>
        <w:lastRenderedPageBreak/>
        <w:t>BIBLIOGRAFÍA</w:t>
      </w:r>
    </w:p>
    <w:p w14:paraId="540111CE" w14:textId="77777777" w:rsidR="007907A0" w:rsidRPr="006E186D" w:rsidRDefault="00D4123E">
      <w:pPr>
        <w:spacing w:line="360" w:lineRule="auto"/>
      </w:pPr>
      <w:r>
        <w:t xml:space="preserve"> </w:t>
      </w:r>
    </w:p>
    <w:p w14:paraId="4814EEF7" w14:textId="77777777" w:rsidR="007907A0" w:rsidRPr="006E186D" w:rsidRDefault="00D4123E">
      <w:pPr>
        <w:spacing w:line="360" w:lineRule="auto"/>
        <w:ind w:left="720" w:hanging="720"/>
        <w:jc w:val="both"/>
      </w:pPr>
      <w:r>
        <w:t xml:space="preserve">Arthur, D., &amp; Vassilvitskii, S. (2007). K-means++: The advantages of careful seeding. </w:t>
      </w:r>
      <w:r>
        <w:rPr>
          <w:i/>
          <w:iCs/>
        </w:rPr>
        <w:t>Proceedings of the 18th Annual ACM-SIAM Symposium on Discrete Algorithms</w:t>
      </w:r>
      <w:r>
        <w:t>, 1027–1035.</w:t>
      </w:r>
    </w:p>
    <w:p w14:paraId="66205F7B" w14:textId="77777777" w:rsidR="007907A0" w:rsidRPr="006E186D" w:rsidRDefault="00D4123E">
      <w:pPr>
        <w:spacing w:line="360" w:lineRule="auto"/>
      </w:pPr>
      <w:r>
        <w:t xml:space="preserve"> </w:t>
      </w:r>
    </w:p>
    <w:p w14:paraId="02FBE527" w14:textId="77777777" w:rsidR="007907A0" w:rsidRPr="006E186D" w:rsidRDefault="00D4123E">
      <w:pPr>
        <w:spacing w:line="360" w:lineRule="auto"/>
        <w:ind w:left="720" w:hanging="720"/>
        <w:jc w:val="both"/>
      </w:pPr>
      <w:r>
        <w:t xml:space="preserve">Calinski, T., &amp; Harabasz, J. (1974). A dendrite method for cluster analysis. </w:t>
      </w:r>
      <w:r>
        <w:rPr>
          <w:i/>
          <w:iCs/>
        </w:rPr>
        <w:t>Communications in Statistics</w:t>
      </w:r>
      <w:r>
        <w:t xml:space="preserve">, </w:t>
      </w:r>
      <w:r>
        <w:rPr>
          <w:i/>
          <w:iCs/>
        </w:rPr>
        <w:t>3</w:t>
      </w:r>
      <w:r>
        <w:t>(1), 1–27. https://doi.org/10.1080/03610927408827101</w:t>
      </w:r>
    </w:p>
    <w:p w14:paraId="1492B920" w14:textId="77777777" w:rsidR="007907A0" w:rsidRPr="006E186D" w:rsidRDefault="00D4123E">
      <w:pPr>
        <w:spacing w:line="360" w:lineRule="auto"/>
      </w:pPr>
      <w:r>
        <w:t xml:space="preserve"> </w:t>
      </w:r>
    </w:p>
    <w:p w14:paraId="5BD4BDB1" w14:textId="77777777" w:rsidR="007907A0" w:rsidRPr="006E186D" w:rsidRDefault="00D4123E">
      <w:pPr>
        <w:spacing w:line="360" w:lineRule="auto"/>
        <w:ind w:left="720" w:hanging="720"/>
        <w:jc w:val="both"/>
      </w:pPr>
      <w:r>
        <w:t xml:space="preserve">Chen, D., Sain, S. L., &amp; Guo, K. (2012). Data mining for the online retail industry: A case study of RFM model-based customer segmentation using data mining. </w:t>
      </w:r>
      <w:r>
        <w:rPr>
          <w:i/>
          <w:iCs/>
        </w:rPr>
        <w:t>Journal of Database Marketing &amp; Customer Strategy Management</w:t>
      </w:r>
      <w:r>
        <w:t xml:space="preserve">, </w:t>
      </w:r>
      <w:r>
        <w:rPr>
          <w:i/>
          <w:iCs/>
        </w:rPr>
        <w:t>19</w:t>
      </w:r>
      <w:r>
        <w:t>(3), 197–208. https://doi.org/10.1057/dbm.2012.17</w:t>
      </w:r>
    </w:p>
    <w:p w14:paraId="0B7E2192" w14:textId="77777777" w:rsidR="007907A0" w:rsidRPr="006E186D" w:rsidRDefault="00D4123E">
      <w:pPr>
        <w:spacing w:line="360" w:lineRule="auto"/>
      </w:pPr>
      <w:r>
        <w:t xml:space="preserve"> </w:t>
      </w:r>
    </w:p>
    <w:p w14:paraId="00DA9198" w14:textId="77777777" w:rsidR="007907A0" w:rsidRPr="006E186D" w:rsidRDefault="00D4123E">
      <w:pPr>
        <w:spacing w:line="360" w:lineRule="auto"/>
        <w:ind w:left="720" w:hanging="720"/>
        <w:jc w:val="both"/>
      </w:pPr>
      <w:r>
        <w:t xml:space="preserve">Davies, D. L., &amp; Bouldin, D. W. (1979). A cluster separation measure. </w:t>
      </w:r>
      <w:r>
        <w:rPr>
          <w:i/>
          <w:iCs/>
        </w:rPr>
        <w:t>IEEE Transactions on Pattern Analysis and Machine Intelligence</w:t>
      </w:r>
      <w:r>
        <w:t xml:space="preserve">, </w:t>
      </w:r>
      <w:r>
        <w:rPr>
          <w:i/>
          <w:iCs/>
        </w:rPr>
        <w:t>1</w:t>
      </w:r>
      <w:r>
        <w:t>(2), 224–227. https://doi.org/10.1109/TPAMI.1979.4766909</w:t>
      </w:r>
    </w:p>
    <w:p w14:paraId="5C10267F" w14:textId="77777777" w:rsidR="007907A0" w:rsidRPr="006E186D" w:rsidRDefault="00D4123E">
      <w:pPr>
        <w:spacing w:line="360" w:lineRule="auto"/>
      </w:pPr>
      <w:r>
        <w:t xml:space="preserve"> </w:t>
      </w:r>
    </w:p>
    <w:p w14:paraId="72A1AB67" w14:textId="77777777" w:rsidR="007907A0" w:rsidRPr="006E186D" w:rsidRDefault="00D4123E">
      <w:pPr>
        <w:spacing w:line="360" w:lineRule="auto"/>
        <w:ind w:left="720" w:hanging="720"/>
        <w:jc w:val="both"/>
      </w:pPr>
      <w:r>
        <w:t xml:space="preserve">Ester, M., Kriegel, H.-P., Sander, J., &amp; Xu, X. (1996). A density-based algorithm for discovering clusters in large spatial databases with noise. </w:t>
      </w:r>
      <w:r>
        <w:rPr>
          <w:i/>
          <w:iCs/>
        </w:rPr>
        <w:t>Proceedings of the 2nd International Conference on Knowledge Discovery and Data Mining (KDD-96)</w:t>
      </w:r>
      <w:r>
        <w:t>, 226–231.</w:t>
      </w:r>
    </w:p>
    <w:p w14:paraId="3F398ED8" w14:textId="77777777" w:rsidR="007907A0" w:rsidRPr="006E186D" w:rsidRDefault="00D4123E">
      <w:pPr>
        <w:spacing w:line="360" w:lineRule="auto"/>
      </w:pPr>
      <w:r>
        <w:t xml:space="preserve"> </w:t>
      </w:r>
    </w:p>
    <w:p w14:paraId="1E29DB33" w14:textId="77777777" w:rsidR="007907A0" w:rsidRPr="006E186D" w:rsidRDefault="00D4123E">
      <w:pPr>
        <w:spacing w:line="360" w:lineRule="auto"/>
        <w:ind w:left="720" w:hanging="720"/>
        <w:jc w:val="both"/>
      </w:pPr>
      <w:r>
        <w:t xml:space="preserve">Fader, P. S., Hardie, B. G. S., &amp; Lee, K. L. (2005). RFM and CLV: Using iso-value curves for customer base analysis. </w:t>
      </w:r>
      <w:r>
        <w:rPr>
          <w:i/>
          <w:iCs/>
        </w:rPr>
        <w:t>Journal of Marketing Research</w:t>
      </w:r>
      <w:r>
        <w:t xml:space="preserve">, </w:t>
      </w:r>
      <w:r>
        <w:rPr>
          <w:i/>
          <w:iCs/>
        </w:rPr>
        <w:t>42</w:t>
      </w:r>
      <w:r>
        <w:t>(4), 415–430. https://doi.org/10.1509/jmkr.2005.42.4.415</w:t>
      </w:r>
    </w:p>
    <w:p w14:paraId="46CAE820" w14:textId="77777777" w:rsidR="007907A0" w:rsidRPr="006E186D" w:rsidRDefault="00D4123E">
      <w:pPr>
        <w:spacing w:line="360" w:lineRule="auto"/>
      </w:pPr>
      <w:r>
        <w:t xml:space="preserve"> </w:t>
      </w:r>
    </w:p>
    <w:p w14:paraId="71380118" w14:textId="77777777" w:rsidR="007907A0" w:rsidRPr="006E186D" w:rsidRDefault="00D4123E">
      <w:pPr>
        <w:spacing w:line="360" w:lineRule="auto"/>
        <w:ind w:left="720" w:hanging="720"/>
        <w:jc w:val="both"/>
      </w:pPr>
      <w:r>
        <w:t xml:space="preserve">Hinton, G. E., &amp; Salakhutdinov, R. R. (2006). Reducing the dimensionality of data with neural networks. </w:t>
      </w:r>
      <w:r>
        <w:rPr>
          <w:i/>
          <w:iCs/>
        </w:rPr>
        <w:t>Science</w:t>
      </w:r>
      <w:r>
        <w:t xml:space="preserve">, </w:t>
      </w:r>
      <w:r>
        <w:rPr>
          <w:i/>
          <w:iCs/>
        </w:rPr>
        <w:t>313</w:t>
      </w:r>
      <w:r>
        <w:t>(5786), 504–507. https://doi.org/10.1126/science.1127647</w:t>
      </w:r>
    </w:p>
    <w:p w14:paraId="0C8EDE06" w14:textId="77777777" w:rsidR="007907A0" w:rsidRPr="006E186D" w:rsidRDefault="00D4123E">
      <w:pPr>
        <w:spacing w:line="360" w:lineRule="auto"/>
      </w:pPr>
      <w:r>
        <w:t xml:space="preserve"> </w:t>
      </w:r>
    </w:p>
    <w:p w14:paraId="5FE839A9" w14:textId="77777777" w:rsidR="007907A0" w:rsidRPr="006E186D" w:rsidRDefault="00D4123E">
      <w:pPr>
        <w:spacing w:line="360" w:lineRule="auto"/>
        <w:ind w:left="720" w:hanging="720"/>
        <w:jc w:val="both"/>
      </w:pPr>
      <w:r>
        <w:t xml:space="preserve">Hughes, A. M. (1994). </w:t>
      </w:r>
      <w:r>
        <w:rPr>
          <w:i/>
          <w:iCs/>
        </w:rPr>
        <w:t>Strategic database marketing</w:t>
      </w:r>
      <w:r>
        <w:t>. Probus Publishing.</w:t>
      </w:r>
    </w:p>
    <w:p w14:paraId="6AF8EC0C" w14:textId="77777777" w:rsidR="007907A0" w:rsidRPr="006E186D" w:rsidRDefault="00D4123E">
      <w:pPr>
        <w:spacing w:line="360" w:lineRule="auto"/>
      </w:pPr>
      <w:r>
        <w:t xml:space="preserve"> </w:t>
      </w:r>
    </w:p>
    <w:p w14:paraId="6A847886" w14:textId="77777777" w:rsidR="007907A0" w:rsidRPr="006E186D" w:rsidRDefault="00D4123E">
      <w:pPr>
        <w:spacing w:line="360" w:lineRule="auto"/>
        <w:ind w:left="720" w:hanging="720"/>
        <w:jc w:val="both"/>
      </w:pPr>
      <w:r>
        <w:t xml:space="preserve">Jolliffe, I. T. (2002). </w:t>
      </w:r>
      <w:r>
        <w:rPr>
          <w:i/>
          <w:iCs/>
        </w:rPr>
        <w:t>Principal component analysis</w:t>
      </w:r>
      <w:r>
        <w:t xml:space="preserve"> (2nd ed.). Springer. https://doi.org/10.1007/b98835</w:t>
      </w:r>
    </w:p>
    <w:p w14:paraId="7710A9BB" w14:textId="77777777" w:rsidR="007907A0" w:rsidRPr="006E186D" w:rsidRDefault="00D4123E">
      <w:pPr>
        <w:spacing w:line="360" w:lineRule="auto"/>
      </w:pPr>
      <w:r>
        <w:t xml:space="preserve"> </w:t>
      </w:r>
    </w:p>
    <w:p w14:paraId="554C7134" w14:textId="77777777" w:rsidR="007907A0" w:rsidRPr="006E186D" w:rsidRDefault="00D4123E">
      <w:pPr>
        <w:spacing w:line="360" w:lineRule="auto"/>
        <w:ind w:left="720" w:hanging="720"/>
        <w:jc w:val="both"/>
      </w:pPr>
      <w:r>
        <w:lastRenderedPageBreak/>
        <w:t xml:space="preserve">MacQueen, J. (1967). Some methods for classification and analysis of multivariate observations. </w:t>
      </w:r>
      <w:r>
        <w:rPr>
          <w:i/>
          <w:iCs/>
        </w:rPr>
        <w:t>Proceedings of the 5th Berkeley Symposium on Mathematical Statistics and Probability</w:t>
      </w:r>
      <w:r>
        <w:t xml:space="preserve">, </w:t>
      </w:r>
      <w:r>
        <w:rPr>
          <w:i/>
          <w:iCs/>
        </w:rPr>
        <w:t>1</w:t>
      </w:r>
      <w:r>
        <w:t>, 281–297.</w:t>
      </w:r>
    </w:p>
    <w:p w14:paraId="709FC4E9" w14:textId="77777777" w:rsidR="007907A0" w:rsidRPr="006E186D" w:rsidRDefault="00D4123E">
      <w:pPr>
        <w:spacing w:line="360" w:lineRule="auto"/>
      </w:pPr>
      <w:r>
        <w:t xml:space="preserve"> </w:t>
      </w:r>
    </w:p>
    <w:p w14:paraId="3C520380" w14:textId="77777777" w:rsidR="007907A0" w:rsidRPr="006E186D" w:rsidRDefault="00D4123E">
      <w:pPr>
        <w:spacing w:line="360" w:lineRule="auto"/>
        <w:ind w:left="720" w:hanging="720"/>
        <w:jc w:val="both"/>
      </w:pPr>
      <w:r>
        <w:t xml:space="preserve">McLachlan, G. J., &amp; Peel, D. (2000). </w:t>
      </w:r>
      <w:r>
        <w:rPr>
          <w:i/>
          <w:iCs/>
        </w:rPr>
        <w:t>Finite mixture models</w:t>
      </w:r>
      <w:r>
        <w:t>. Wiley. https://doi.org/10.1002/0471721182</w:t>
      </w:r>
    </w:p>
    <w:p w14:paraId="315D0BDC" w14:textId="77777777" w:rsidR="007907A0" w:rsidRPr="006E186D" w:rsidRDefault="00D4123E">
      <w:pPr>
        <w:spacing w:line="360" w:lineRule="auto"/>
      </w:pPr>
      <w:r>
        <w:t xml:space="preserve"> </w:t>
      </w:r>
    </w:p>
    <w:p w14:paraId="599CBFE7" w14:textId="77777777" w:rsidR="007907A0" w:rsidRPr="006E186D" w:rsidRDefault="00D4123E">
      <w:pPr>
        <w:spacing w:line="360" w:lineRule="auto"/>
        <w:ind w:left="720" w:hanging="720"/>
        <w:jc w:val="both"/>
      </w:pPr>
      <w:r>
        <w:t xml:space="preserve">Rousseeuw, P. J. (1987). Silhouettes: A graphical aid to the interpretation and validation of cluster analysis. </w:t>
      </w:r>
      <w:r>
        <w:rPr>
          <w:i/>
          <w:iCs/>
        </w:rPr>
        <w:t>Journal of Computational and Applied Mathematics</w:t>
      </w:r>
      <w:r>
        <w:t xml:space="preserve">, </w:t>
      </w:r>
      <w:r>
        <w:rPr>
          <w:i/>
          <w:iCs/>
        </w:rPr>
        <w:t>20</w:t>
      </w:r>
      <w:r>
        <w:t>, 53–65. https://doi.org/10.1016/0377-0427(87)90125-7</w:t>
      </w:r>
    </w:p>
    <w:p w14:paraId="6D7AD79C" w14:textId="77777777" w:rsidR="007907A0" w:rsidRPr="006E186D" w:rsidRDefault="00D4123E">
      <w:pPr>
        <w:spacing w:line="360" w:lineRule="auto"/>
      </w:pPr>
      <w:r>
        <w:t xml:space="preserve"> </w:t>
      </w:r>
    </w:p>
    <w:p w14:paraId="1CAE5B95" w14:textId="77777777" w:rsidR="007907A0" w:rsidRPr="006E186D" w:rsidRDefault="00D4123E">
      <w:pPr>
        <w:spacing w:line="360" w:lineRule="auto"/>
        <w:ind w:left="720" w:hanging="720"/>
        <w:jc w:val="both"/>
      </w:pPr>
      <w:r>
        <w:t xml:space="preserve">Van der Maaten, L., &amp; Hinton, G. (2008). Visualizing data using t-SNE. </w:t>
      </w:r>
      <w:r>
        <w:rPr>
          <w:i/>
          <w:iCs/>
        </w:rPr>
        <w:t>Journal of Machine Learning Research</w:t>
      </w:r>
      <w:r>
        <w:t xml:space="preserve">, </w:t>
      </w:r>
      <w:r>
        <w:rPr>
          <w:i/>
          <w:iCs/>
        </w:rPr>
        <w:t>9</w:t>
      </w:r>
      <w:r>
        <w:t>, 2579–2605. https://www.jmlr.org/papers/v9/vandermaaten08a.html</w:t>
      </w:r>
    </w:p>
    <w:p w14:paraId="67FC29C9" w14:textId="77777777" w:rsidR="007907A0" w:rsidRPr="006E186D" w:rsidRDefault="00D4123E">
      <w:pPr>
        <w:spacing w:line="360" w:lineRule="auto"/>
      </w:pPr>
      <w:r>
        <w:t xml:space="preserve"> </w:t>
      </w:r>
    </w:p>
    <w:p w14:paraId="42819F95" w14:textId="065BAAE0" w:rsidR="007907A0" w:rsidRPr="006E186D" w:rsidRDefault="00D4123E" w:rsidP="00157F91">
      <w:pPr>
        <w:spacing w:line="360" w:lineRule="auto"/>
        <w:ind w:left="720" w:hanging="720"/>
        <w:jc w:val="both"/>
      </w:pPr>
      <w:r>
        <w:t xml:space="preserve">Xie, J., Girshick, R., &amp; Farhadi, A. (2016). Unsupervised deep embedding for clustering analysis. </w:t>
      </w:r>
      <w:r>
        <w:rPr>
          <w:i/>
          <w:iCs/>
        </w:rPr>
        <w:t>Proceedings of the 33rd International Conference on Machine Learning (ICML)</w:t>
      </w:r>
      <w:r>
        <w:t>, 478–487. https://proceedings.mlr.press/v48/xieb16.html</w:t>
      </w:r>
    </w:p>
    <w:sectPr w:rsidR="007907A0" w:rsidRPr="006E186D">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BEF81" w14:textId="77777777" w:rsidR="000E6C14" w:rsidRDefault="000E6C14">
      <w:r>
        <w:separator/>
      </w:r>
    </w:p>
  </w:endnote>
  <w:endnote w:type="continuationSeparator" w:id="0">
    <w:p w14:paraId="51DDF67A" w14:textId="77777777" w:rsidR="000E6C14" w:rsidRDefault="000E6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3C675" w14:textId="77777777" w:rsidR="007907A0" w:rsidRDefault="00D4123E">
    <w:pPr>
      <w:spacing w:line="360" w:lineRule="auto"/>
      <w:jc w:val="right"/>
    </w:pPr>
    <w:r>
      <w:fldChar w:fldCharType="begin"/>
    </w:r>
    <w:r>
      <w:instrText>PAGE</w:instrText>
    </w:r>
    <w:r>
      <w:fldChar w:fldCharType="separate"/>
    </w:r>
    <w:r w:rsidR="00DD66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1252A" w14:textId="77777777" w:rsidR="000E6C14" w:rsidRDefault="000E6C14">
      <w:r>
        <w:separator/>
      </w:r>
    </w:p>
  </w:footnote>
  <w:footnote w:type="continuationSeparator" w:id="0">
    <w:p w14:paraId="521EE20A" w14:textId="77777777" w:rsidR="000E6C14" w:rsidRDefault="000E6C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D2E88"/>
    <w:multiLevelType w:val="hybridMultilevel"/>
    <w:tmpl w:val="9A60C56E"/>
    <w:lvl w:ilvl="0" w:tplc="C478C9CA">
      <w:start w:val="1"/>
      <w:numFmt w:val="bullet"/>
      <w:lvlText w:val="●"/>
      <w:lvlJc w:val="left"/>
      <w:pPr>
        <w:ind w:left="720" w:hanging="360"/>
      </w:pPr>
    </w:lvl>
    <w:lvl w:ilvl="1" w:tplc="D4D80CA6">
      <w:start w:val="1"/>
      <w:numFmt w:val="bullet"/>
      <w:lvlText w:val="○"/>
      <w:lvlJc w:val="left"/>
      <w:pPr>
        <w:ind w:left="1440" w:hanging="360"/>
      </w:pPr>
    </w:lvl>
    <w:lvl w:ilvl="2" w:tplc="9ED6E94A">
      <w:start w:val="1"/>
      <w:numFmt w:val="bullet"/>
      <w:lvlText w:val="■"/>
      <w:lvlJc w:val="left"/>
      <w:pPr>
        <w:ind w:left="2160" w:hanging="360"/>
      </w:pPr>
    </w:lvl>
    <w:lvl w:ilvl="3" w:tplc="4B5EEB6C">
      <w:start w:val="1"/>
      <w:numFmt w:val="bullet"/>
      <w:lvlText w:val="●"/>
      <w:lvlJc w:val="left"/>
      <w:pPr>
        <w:ind w:left="2880" w:hanging="360"/>
      </w:pPr>
    </w:lvl>
    <w:lvl w:ilvl="4" w:tplc="47AAD38C">
      <w:start w:val="1"/>
      <w:numFmt w:val="bullet"/>
      <w:lvlText w:val="○"/>
      <w:lvlJc w:val="left"/>
      <w:pPr>
        <w:ind w:left="3600" w:hanging="360"/>
      </w:pPr>
    </w:lvl>
    <w:lvl w:ilvl="5" w:tplc="5F2223CA">
      <w:start w:val="1"/>
      <w:numFmt w:val="bullet"/>
      <w:lvlText w:val="■"/>
      <w:lvlJc w:val="left"/>
      <w:pPr>
        <w:ind w:left="4320" w:hanging="360"/>
      </w:pPr>
    </w:lvl>
    <w:lvl w:ilvl="6" w:tplc="42F4F890">
      <w:start w:val="1"/>
      <w:numFmt w:val="bullet"/>
      <w:lvlText w:val="●"/>
      <w:lvlJc w:val="left"/>
      <w:pPr>
        <w:ind w:left="5040" w:hanging="360"/>
      </w:pPr>
    </w:lvl>
    <w:lvl w:ilvl="7" w:tplc="48C04FE6">
      <w:start w:val="1"/>
      <w:numFmt w:val="bullet"/>
      <w:lvlText w:val="●"/>
      <w:lvlJc w:val="left"/>
      <w:pPr>
        <w:ind w:left="5760" w:hanging="360"/>
      </w:pPr>
    </w:lvl>
    <w:lvl w:ilvl="8" w:tplc="A860E14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7A0"/>
    <w:rsid w:val="00082DD1"/>
    <w:rsid w:val="000E1671"/>
    <w:rsid w:val="000E6C14"/>
    <w:rsid w:val="000E7816"/>
    <w:rsid w:val="00157F91"/>
    <w:rsid w:val="001F31A6"/>
    <w:rsid w:val="00200AC8"/>
    <w:rsid w:val="00214A9A"/>
    <w:rsid w:val="00246CFF"/>
    <w:rsid w:val="002533E9"/>
    <w:rsid w:val="00254362"/>
    <w:rsid w:val="002A35DC"/>
    <w:rsid w:val="002A5CB8"/>
    <w:rsid w:val="002B4522"/>
    <w:rsid w:val="0035186F"/>
    <w:rsid w:val="003A7C11"/>
    <w:rsid w:val="003B2389"/>
    <w:rsid w:val="003C5BC8"/>
    <w:rsid w:val="003C673F"/>
    <w:rsid w:val="003D737C"/>
    <w:rsid w:val="00416B31"/>
    <w:rsid w:val="00420301"/>
    <w:rsid w:val="004376A7"/>
    <w:rsid w:val="00461CD7"/>
    <w:rsid w:val="00483CE5"/>
    <w:rsid w:val="004C08BF"/>
    <w:rsid w:val="005752F9"/>
    <w:rsid w:val="0059135B"/>
    <w:rsid w:val="005A7426"/>
    <w:rsid w:val="005D7208"/>
    <w:rsid w:val="00627C7C"/>
    <w:rsid w:val="00630422"/>
    <w:rsid w:val="00682457"/>
    <w:rsid w:val="006E186D"/>
    <w:rsid w:val="0072117C"/>
    <w:rsid w:val="007272F3"/>
    <w:rsid w:val="007617E1"/>
    <w:rsid w:val="007907A0"/>
    <w:rsid w:val="00834562"/>
    <w:rsid w:val="008963D4"/>
    <w:rsid w:val="008F17CD"/>
    <w:rsid w:val="009C7EA9"/>
    <w:rsid w:val="009E0221"/>
    <w:rsid w:val="009F55C0"/>
    <w:rsid w:val="009F79DF"/>
    <w:rsid w:val="00A123A6"/>
    <w:rsid w:val="00A15C77"/>
    <w:rsid w:val="00A26A5E"/>
    <w:rsid w:val="00A610FC"/>
    <w:rsid w:val="00A7306F"/>
    <w:rsid w:val="00B06824"/>
    <w:rsid w:val="00B75673"/>
    <w:rsid w:val="00BE4CBB"/>
    <w:rsid w:val="00C830BD"/>
    <w:rsid w:val="00C90F2B"/>
    <w:rsid w:val="00CB46F4"/>
    <w:rsid w:val="00CC4049"/>
    <w:rsid w:val="00CD1F6D"/>
    <w:rsid w:val="00D05735"/>
    <w:rsid w:val="00D4123E"/>
    <w:rsid w:val="00DA0952"/>
    <w:rsid w:val="00DD6677"/>
    <w:rsid w:val="00E8009C"/>
    <w:rsid w:val="00EA0518"/>
    <w:rsid w:val="00EA05F3"/>
    <w:rsid w:val="00ED3C6B"/>
    <w:rsid w:val="00F14A91"/>
    <w:rsid w:val="00F1739A"/>
    <w:rsid w:val="00F52005"/>
    <w:rsid w:val="00F57326"/>
    <w:rsid w:val="00FC4E2A"/>
    <w:rsid w:val="00FE5B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7717"/>
  <w15:docId w15:val="{3DC3ACCE-A8C4-4816-8AE8-620703B1B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line="360" w:lineRule="auto"/>
      <w:jc w:val="center"/>
      <w:outlineLvl w:val="0"/>
    </w:pPr>
    <w:rPr>
      <w:b/>
      <w:bCs/>
    </w:rPr>
  </w:style>
  <w:style w:type="paragraph" w:styleId="Ttulo2">
    <w:name w:val="heading 2"/>
    <w:uiPriority w:val="9"/>
    <w:unhideWhenUsed/>
    <w:qFormat/>
    <w:pPr>
      <w:spacing w:line="360" w:lineRule="auto"/>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E1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semiHidden/>
    <w:unhideWhenUsed/>
    <w:qFormat/>
    <w:rsid w:val="00200AC8"/>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47CB5-9F24-487D-B7F3-947A850B7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TotalTime>
  <Pages>13</Pages>
  <Words>3812</Words>
  <Characters>20967</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Viviana Pechene</cp:lastModifiedBy>
  <cp:revision>24</cp:revision>
  <dcterms:created xsi:type="dcterms:W3CDTF">2026-09-01T20:16:00Z</dcterms:created>
  <dcterms:modified xsi:type="dcterms:W3CDTF">2026-10-05T17:43:00Z</dcterms:modified>
</cp:coreProperties>
</file>