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Vivian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</w:t>
      </w:r>
      <w:r>
        <w:rPr>
          <w:b w:val="1"/>
          <w:bCs w:val="1"/>
          <w:sz w:val="24"/>
          <w:szCs w:val="24"/>
          <w:rtl w:val="0"/>
          <w:lang w:val="zh-CN" w:eastAsia="zh-CN"/>
        </w:rPr>
        <w:t>Joy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0-50pts Failure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50-70 pts Marginal Pass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95%</w:t>
            </w:r>
          </w:p>
        </w:tc>
      </w:tr>
      <w:tr>
        <w:tblPrEx>
          <w:shd w:val="clear" w:color="auto" w:fill="d0ddef"/>
        </w:tblPrEx>
        <w:trPr>
          <w:trHeight w:val="1192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90%</w:t>
            </w:r>
          </w:p>
        </w:tc>
      </w:tr>
      <w:tr>
        <w:tblPrEx>
          <w:shd w:val="clear" w:color="auto" w:fill="d0ddef"/>
        </w:tblPrEx>
        <w:trPr>
          <w:trHeight w:val="4703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网站没有设计感，网站有创造性但没有惊喜感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网站没有趣的设计特点。看起来像许多类似站点相同。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95%</w:t>
            </w:r>
          </w:p>
        </w:tc>
      </w:tr>
      <w:tr>
        <w:tblPrEx>
          <w:shd w:val="clear" w:color="auto" w:fill="d0ddef"/>
        </w:tblPrEx>
        <w:trPr>
          <w:trHeight w:val="36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100%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</w:rPr>
        <w:t>25%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</w:rPr>
        <w:t>75%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422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3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All images/elements display properly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网站运作：（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所有图像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7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网站中运用到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CSS Styles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，外置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Style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Sheet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17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用于驱动交互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（外部链接＋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a variety of content types (jpg,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多样的内容形式（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examples of studio work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Includes a description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1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b w:val="1"/>
          <w:bCs w:val="1"/>
          <w:rtl w:val="0"/>
          <w:lang w:val="en-US"/>
        </w:rPr>
        <w:t>NOTES: Yellow as the main theme, bold and eye-catching, is a very visual impact site, the picture is also very interesting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