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677A5" w14:textId="5FB5716C" w:rsidR="00407965" w:rsidRPr="000A7AEC" w:rsidRDefault="00C05FDA">
      <w:pPr>
        <w:rPr>
          <w:b/>
          <w:bCs/>
          <w:sz w:val="28"/>
          <w:szCs w:val="28"/>
        </w:rPr>
      </w:pPr>
      <w:r w:rsidRPr="000A7AEC">
        <w:rPr>
          <w:b/>
          <w:bCs/>
          <w:sz w:val="28"/>
          <w:szCs w:val="28"/>
        </w:rPr>
        <w:t>Recommendations:</w:t>
      </w:r>
    </w:p>
    <w:p w14:paraId="2E643699" w14:textId="77777777" w:rsidR="00C05FDA" w:rsidRDefault="00C05FDA"/>
    <w:p w14:paraId="50DA0032" w14:textId="34158038" w:rsidR="00C05FDA" w:rsidRDefault="00C05FDA" w:rsidP="00C05FDA">
      <w:r>
        <w:t xml:space="preserve">To inform the model how </w:t>
      </w:r>
      <w:r w:rsidRPr="00C05FDA">
        <w:t xml:space="preserve">loan eligibility </w:t>
      </w:r>
      <w:r>
        <w:t xml:space="preserve">can be improved </w:t>
      </w:r>
      <w:r w:rsidRPr="00C05FDA">
        <w:t>involve</w:t>
      </w:r>
      <w:r>
        <w:t>d</w:t>
      </w:r>
      <w:r w:rsidRPr="00C05FDA">
        <w:t xml:space="preserve"> assessing the factors that affect the approval or rejection of loan applications and </w:t>
      </w:r>
      <w:r w:rsidRPr="00C05FDA">
        <w:t>adjusting</w:t>
      </w:r>
      <w:r w:rsidRPr="00C05FDA">
        <w:t xml:space="preserve"> accordingly. Based on </w:t>
      </w:r>
      <w:r>
        <w:t xml:space="preserve">our chosen </w:t>
      </w:r>
      <w:r w:rsidRPr="00C05FDA">
        <w:t>data, here are some recommendations on how one could improve loan eligibility:</w:t>
      </w:r>
    </w:p>
    <w:p w14:paraId="6C46D98B" w14:textId="77777777" w:rsidR="00C05FDA" w:rsidRPr="00C05FDA" w:rsidRDefault="00C05FDA" w:rsidP="00C05FDA"/>
    <w:p w14:paraId="5646578D" w14:textId="28133DDA" w:rsidR="00C05FDA" w:rsidRPr="00C05FDA" w:rsidRDefault="00C05FDA" w:rsidP="00C05FDA">
      <w:pPr>
        <w:numPr>
          <w:ilvl w:val="0"/>
          <w:numId w:val="1"/>
        </w:numPr>
      </w:pPr>
      <w:r w:rsidRPr="00C05FDA">
        <w:rPr>
          <w:b/>
          <w:bCs/>
        </w:rPr>
        <w:t>Credit History</w:t>
      </w:r>
      <w:r w:rsidRPr="00C05FDA">
        <w:t xml:space="preserve">: Credit history plays a significant role in loan approval. Applicants with a good credit history (Credit_History=1.0) have a higher chance of loan approval. Therefore, encourage applicants to maintain a good credit score by paying their bills and existing loans on time. For applicants with a poor credit history, consider offering them credit </w:t>
      </w:r>
      <w:r w:rsidRPr="00C05FDA">
        <w:t>counselling</w:t>
      </w:r>
      <w:r w:rsidRPr="00C05FDA">
        <w:t xml:space="preserve"> services to help them improve their creditworthiness.</w:t>
      </w:r>
    </w:p>
    <w:p w14:paraId="6399B0CF" w14:textId="13B3E422" w:rsidR="00C05FDA" w:rsidRPr="00C05FDA" w:rsidRDefault="00C05FDA" w:rsidP="00C05FDA">
      <w:pPr>
        <w:numPr>
          <w:ilvl w:val="0"/>
          <w:numId w:val="1"/>
        </w:numPr>
      </w:pPr>
      <w:r w:rsidRPr="00C05FDA">
        <w:rPr>
          <w:b/>
          <w:bCs/>
        </w:rPr>
        <w:t>Income</w:t>
      </w:r>
      <w:r w:rsidRPr="00C05FDA">
        <w:t>: Higher income levels positively impact loan eligibility. Encourage applicants to increase their income through career growth, business expansion, or additional sources of income. Additionally, applicants can apply jointly with a co-borrower (Co</w:t>
      </w:r>
      <w:r w:rsidR="000A7AEC">
        <w:t>-</w:t>
      </w:r>
      <w:r w:rsidRPr="00C05FDA">
        <w:t>applicant</w:t>
      </w:r>
      <w:r>
        <w:t xml:space="preserve"> </w:t>
      </w:r>
      <w:r w:rsidRPr="00C05FDA">
        <w:t>Income) to increase their total income.</w:t>
      </w:r>
    </w:p>
    <w:p w14:paraId="1A20E751" w14:textId="56607E04" w:rsidR="00C05FDA" w:rsidRPr="00C05FDA" w:rsidRDefault="00C05FDA" w:rsidP="00C05FDA">
      <w:pPr>
        <w:numPr>
          <w:ilvl w:val="0"/>
          <w:numId w:val="1"/>
        </w:numPr>
      </w:pPr>
      <w:r w:rsidRPr="00C05FDA">
        <w:rPr>
          <w:b/>
          <w:bCs/>
        </w:rPr>
        <w:t>Loan Amount</w:t>
      </w:r>
      <w:r w:rsidRPr="00C05FDA">
        <w:t xml:space="preserve">: Keep the loan amount within a reasonable range based on the applicant's income. High loan amounts relative to income can lead to rejection. You can provide financial </w:t>
      </w:r>
      <w:r w:rsidRPr="00C05FDA">
        <w:t>counselling</w:t>
      </w:r>
      <w:r w:rsidRPr="00C05FDA">
        <w:t xml:space="preserve"> to help applicants determine a suitable loan amount based on their financial situation.</w:t>
      </w:r>
    </w:p>
    <w:p w14:paraId="7B56DA66" w14:textId="77777777" w:rsidR="00C05FDA" w:rsidRPr="00C05FDA" w:rsidRDefault="00C05FDA" w:rsidP="00C05FDA">
      <w:pPr>
        <w:numPr>
          <w:ilvl w:val="0"/>
          <w:numId w:val="1"/>
        </w:numPr>
      </w:pPr>
      <w:r w:rsidRPr="00C05FDA">
        <w:rPr>
          <w:b/>
          <w:bCs/>
        </w:rPr>
        <w:t>Loan Amount Term</w:t>
      </w:r>
      <w:r w:rsidRPr="00C05FDA">
        <w:t>: Ensure that the loan term (Loan_Amount_Term) aligns with the applicant's financial goals and ability to repay. Longer loan terms may result in lower EMI but higher interest payments over time. Help applicants choose the most appropriate loan term for their needs.</w:t>
      </w:r>
    </w:p>
    <w:p w14:paraId="4E05824D" w14:textId="77777777" w:rsidR="00C05FDA" w:rsidRPr="00C05FDA" w:rsidRDefault="00C05FDA" w:rsidP="00C05FDA">
      <w:pPr>
        <w:numPr>
          <w:ilvl w:val="0"/>
          <w:numId w:val="1"/>
        </w:numPr>
      </w:pPr>
      <w:r w:rsidRPr="00C05FDA">
        <w:rPr>
          <w:b/>
          <w:bCs/>
        </w:rPr>
        <w:t>Property Area</w:t>
      </w:r>
      <w:r w:rsidRPr="00C05FDA">
        <w:t>: The property's location (Property_Area) can affect loan eligibility. Semiurban and urban areas tend to have better approval rates. Applicants looking for loans in rural areas may need to provide additional collateral or security to improve their eligibility.</w:t>
      </w:r>
    </w:p>
    <w:p w14:paraId="44649891" w14:textId="77777777" w:rsidR="00C05FDA" w:rsidRPr="00C05FDA" w:rsidRDefault="00C05FDA" w:rsidP="00C05FDA">
      <w:pPr>
        <w:numPr>
          <w:ilvl w:val="0"/>
          <w:numId w:val="1"/>
        </w:numPr>
      </w:pPr>
      <w:r w:rsidRPr="00C05FDA">
        <w:rPr>
          <w:b/>
          <w:bCs/>
        </w:rPr>
        <w:t>Dependents</w:t>
      </w:r>
      <w:r w:rsidRPr="00C05FDA">
        <w:t>: The number of dependents can impact loan eligibility. Applicants with many dependents may need to consider measures to reduce their financial responsibilities or seek higher-paying job opportunities.</w:t>
      </w:r>
    </w:p>
    <w:p w14:paraId="623DCF49" w14:textId="77777777" w:rsidR="00C05FDA" w:rsidRPr="00C05FDA" w:rsidRDefault="00C05FDA" w:rsidP="00C05FDA">
      <w:pPr>
        <w:numPr>
          <w:ilvl w:val="0"/>
          <w:numId w:val="1"/>
        </w:numPr>
      </w:pPr>
      <w:r w:rsidRPr="00C05FDA">
        <w:rPr>
          <w:b/>
          <w:bCs/>
        </w:rPr>
        <w:t>Education and Self-Employment</w:t>
      </w:r>
      <w:r w:rsidRPr="00C05FDA">
        <w:t>: Graduates generally have higher loan approval rates than non-graduates. Encourage applicants to pursue higher education if possible. Additionally, self-employed applicants should maintain proper financial records and demonstrate a stable income source.</w:t>
      </w:r>
    </w:p>
    <w:p w14:paraId="784610D6" w14:textId="77777777" w:rsidR="00C05FDA" w:rsidRPr="00C05FDA" w:rsidRDefault="00C05FDA" w:rsidP="00C05FDA">
      <w:pPr>
        <w:numPr>
          <w:ilvl w:val="0"/>
          <w:numId w:val="1"/>
        </w:numPr>
      </w:pPr>
      <w:r w:rsidRPr="00C05FDA">
        <w:rPr>
          <w:b/>
          <w:bCs/>
        </w:rPr>
        <w:t>Marital Status</w:t>
      </w:r>
      <w:r w:rsidRPr="00C05FDA">
        <w:t>: Married applicants may consider applying jointly with their spouse to increase their total income and improve eligibility.</w:t>
      </w:r>
    </w:p>
    <w:p w14:paraId="3300E278" w14:textId="225DC744" w:rsidR="00C05FDA" w:rsidRPr="00C05FDA" w:rsidRDefault="00C05FDA" w:rsidP="00C05FDA">
      <w:pPr>
        <w:numPr>
          <w:ilvl w:val="0"/>
          <w:numId w:val="1"/>
        </w:numPr>
      </w:pPr>
      <w:r w:rsidRPr="00C05FDA">
        <w:rPr>
          <w:b/>
          <w:bCs/>
        </w:rPr>
        <w:t>Co</w:t>
      </w:r>
      <w:r>
        <w:rPr>
          <w:b/>
          <w:bCs/>
        </w:rPr>
        <w:t>-</w:t>
      </w:r>
      <w:r w:rsidRPr="00C05FDA">
        <w:rPr>
          <w:b/>
          <w:bCs/>
        </w:rPr>
        <w:t>applicant</w:t>
      </w:r>
      <w:r w:rsidRPr="00C05FDA">
        <w:t>: Applicants can seek co</w:t>
      </w:r>
      <w:r>
        <w:t>-</w:t>
      </w:r>
      <w:r w:rsidRPr="00C05FDA">
        <w:t>applicants with a stable income source to strengthen their application. However, ensure that the co</w:t>
      </w:r>
      <w:r>
        <w:t>-</w:t>
      </w:r>
      <w:r w:rsidRPr="00C05FDA">
        <w:t>applicant also has a good credit history.</w:t>
      </w:r>
    </w:p>
    <w:p w14:paraId="43FCF1AE" w14:textId="77777777" w:rsidR="00C05FDA" w:rsidRPr="00C05FDA" w:rsidRDefault="00C05FDA" w:rsidP="00C05FDA">
      <w:pPr>
        <w:numPr>
          <w:ilvl w:val="0"/>
          <w:numId w:val="1"/>
        </w:numPr>
      </w:pPr>
      <w:r w:rsidRPr="00C05FDA">
        <w:rPr>
          <w:b/>
          <w:bCs/>
        </w:rPr>
        <w:t>Documentation</w:t>
      </w:r>
      <w:r w:rsidRPr="00C05FDA">
        <w:t>: Ensure that applicants provide all required documents accurately and completely. Incomplete or incorrect documentation can lead to delays or rejection.</w:t>
      </w:r>
    </w:p>
    <w:p w14:paraId="59D0831D" w14:textId="77777777" w:rsidR="00C05FDA" w:rsidRPr="00C05FDA" w:rsidRDefault="00C05FDA" w:rsidP="00C05FDA">
      <w:pPr>
        <w:numPr>
          <w:ilvl w:val="0"/>
          <w:numId w:val="1"/>
        </w:numPr>
      </w:pPr>
      <w:r w:rsidRPr="00C05FDA">
        <w:rPr>
          <w:b/>
          <w:bCs/>
        </w:rPr>
        <w:t>Debt-to-Income Ratio</w:t>
      </w:r>
      <w:r w:rsidRPr="00C05FDA">
        <w:t>: Help applicants manage their existing debts and keep their debt-to-income ratio in check. Lowering existing debts can improve eligibility.</w:t>
      </w:r>
    </w:p>
    <w:p w14:paraId="2F42E6BF" w14:textId="77777777" w:rsidR="00C05FDA" w:rsidRPr="00C05FDA" w:rsidRDefault="00C05FDA" w:rsidP="00C05FDA">
      <w:pPr>
        <w:numPr>
          <w:ilvl w:val="0"/>
          <w:numId w:val="1"/>
        </w:numPr>
      </w:pPr>
      <w:r w:rsidRPr="00C05FDA">
        <w:rPr>
          <w:b/>
          <w:bCs/>
        </w:rPr>
        <w:t>Property Valuation</w:t>
      </w:r>
      <w:r w:rsidRPr="00C05FDA">
        <w:t>: Ensure that the property's value is accurately assessed, as it can affect the loan amount and eligibility.</w:t>
      </w:r>
    </w:p>
    <w:p w14:paraId="349B06DA" w14:textId="77777777" w:rsidR="00C05FDA" w:rsidRPr="00C05FDA" w:rsidRDefault="00C05FDA" w:rsidP="00C05FDA">
      <w:pPr>
        <w:numPr>
          <w:ilvl w:val="0"/>
          <w:numId w:val="1"/>
        </w:numPr>
      </w:pPr>
      <w:r w:rsidRPr="00C05FDA">
        <w:rPr>
          <w:b/>
          <w:bCs/>
        </w:rPr>
        <w:lastRenderedPageBreak/>
        <w:t>Regulatory Compliance</w:t>
      </w:r>
      <w:r w:rsidRPr="00C05FDA">
        <w:t>: Stay updated with the latest regulatory requirements and ensure that your loan approval process complies with all legal standards.</w:t>
      </w:r>
    </w:p>
    <w:p w14:paraId="3A62AE64" w14:textId="77777777" w:rsidR="00C05FDA" w:rsidRPr="00C05FDA" w:rsidRDefault="00C05FDA" w:rsidP="00C05FDA">
      <w:pPr>
        <w:numPr>
          <w:ilvl w:val="0"/>
          <w:numId w:val="1"/>
        </w:numPr>
      </w:pPr>
      <w:r w:rsidRPr="00C05FDA">
        <w:rPr>
          <w:b/>
          <w:bCs/>
        </w:rPr>
        <w:t>Communication</w:t>
      </w:r>
      <w:r w:rsidRPr="00C05FDA">
        <w:t>: Provide clear communication to applicants about the reasons for loan rejections, if any. Offer guidance on steps they can take to improve their eligibility for future applications.</w:t>
      </w:r>
    </w:p>
    <w:p w14:paraId="76C8F9F5" w14:textId="77777777" w:rsidR="00C05FDA" w:rsidRDefault="00C05FDA" w:rsidP="00C05FDA">
      <w:pPr>
        <w:numPr>
          <w:ilvl w:val="0"/>
          <w:numId w:val="1"/>
        </w:numPr>
      </w:pPr>
      <w:r w:rsidRPr="00C05FDA">
        <w:rPr>
          <w:b/>
          <w:bCs/>
        </w:rPr>
        <w:t>Customer Education</w:t>
      </w:r>
      <w:r w:rsidRPr="00C05FDA">
        <w:t>: Offer financial literacy programs and workshops to educate potential borrowers about responsible borrowing, credit management, and financial planning.</w:t>
      </w:r>
    </w:p>
    <w:p w14:paraId="0DD36F52" w14:textId="77777777" w:rsidR="00C05FDA" w:rsidRPr="00C05FDA" w:rsidRDefault="00C05FDA" w:rsidP="00C05FDA"/>
    <w:p w14:paraId="45E95647" w14:textId="77777777" w:rsidR="00C05FDA" w:rsidRPr="00C05FDA" w:rsidRDefault="00C05FDA" w:rsidP="00C05FDA">
      <w:pPr>
        <w:rPr>
          <w:vanish/>
        </w:rPr>
      </w:pPr>
      <w:r w:rsidRPr="00C05FDA">
        <w:rPr>
          <w:vanish/>
        </w:rPr>
        <w:t>Top of Form</w:t>
      </w:r>
    </w:p>
    <w:p w14:paraId="239FCF0A" w14:textId="77777777" w:rsidR="00C05FDA" w:rsidRPr="00C05FDA" w:rsidRDefault="00C05FDA" w:rsidP="00C05FDA"/>
    <w:p w14:paraId="44D68607" w14:textId="77777777" w:rsidR="00C05FDA" w:rsidRPr="00C05FDA" w:rsidRDefault="00C05FDA" w:rsidP="00C05FDA">
      <w:pPr>
        <w:rPr>
          <w:vanish/>
        </w:rPr>
      </w:pPr>
      <w:r w:rsidRPr="00C05FDA">
        <w:rPr>
          <w:vanish/>
        </w:rPr>
        <w:t>Bottom of Form</w:t>
      </w:r>
    </w:p>
    <w:p w14:paraId="258DD546" w14:textId="77777777" w:rsidR="00C05FDA" w:rsidRDefault="00C05FDA"/>
    <w:sectPr w:rsidR="00C05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8531F"/>
    <w:multiLevelType w:val="multilevel"/>
    <w:tmpl w:val="22521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0798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FDA"/>
    <w:rsid w:val="00080726"/>
    <w:rsid w:val="000A7AEC"/>
    <w:rsid w:val="00407965"/>
    <w:rsid w:val="005044AF"/>
    <w:rsid w:val="00694548"/>
    <w:rsid w:val="00C05F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E2991E6"/>
  <w15:chartTrackingRefBased/>
  <w15:docId w15:val="{E73B1A90-E5E8-4642-9454-209F971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383314">
      <w:bodyDiv w:val="1"/>
      <w:marLeft w:val="0"/>
      <w:marRight w:val="0"/>
      <w:marTop w:val="0"/>
      <w:marBottom w:val="0"/>
      <w:divBdr>
        <w:top w:val="none" w:sz="0" w:space="0" w:color="auto"/>
        <w:left w:val="none" w:sz="0" w:space="0" w:color="auto"/>
        <w:bottom w:val="none" w:sz="0" w:space="0" w:color="auto"/>
        <w:right w:val="none" w:sz="0" w:space="0" w:color="auto"/>
      </w:divBdr>
      <w:divsChild>
        <w:div w:id="1550532139">
          <w:marLeft w:val="0"/>
          <w:marRight w:val="0"/>
          <w:marTop w:val="0"/>
          <w:marBottom w:val="0"/>
          <w:divBdr>
            <w:top w:val="single" w:sz="2" w:space="0" w:color="D9D9E3"/>
            <w:left w:val="single" w:sz="2" w:space="0" w:color="D9D9E3"/>
            <w:bottom w:val="single" w:sz="2" w:space="0" w:color="D9D9E3"/>
            <w:right w:val="single" w:sz="2" w:space="0" w:color="D9D9E3"/>
          </w:divBdr>
          <w:divsChild>
            <w:div w:id="1322729699">
              <w:marLeft w:val="0"/>
              <w:marRight w:val="0"/>
              <w:marTop w:val="0"/>
              <w:marBottom w:val="0"/>
              <w:divBdr>
                <w:top w:val="single" w:sz="2" w:space="0" w:color="D9D9E3"/>
                <w:left w:val="single" w:sz="2" w:space="0" w:color="D9D9E3"/>
                <w:bottom w:val="single" w:sz="2" w:space="0" w:color="D9D9E3"/>
                <w:right w:val="single" w:sz="2" w:space="0" w:color="D9D9E3"/>
              </w:divBdr>
              <w:divsChild>
                <w:div w:id="1848909591">
                  <w:marLeft w:val="0"/>
                  <w:marRight w:val="0"/>
                  <w:marTop w:val="0"/>
                  <w:marBottom w:val="0"/>
                  <w:divBdr>
                    <w:top w:val="single" w:sz="2" w:space="0" w:color="D9D9E3"/>
                    <w:left w:val="single" w:sz="2" w:space="0" w:color="D9D9E3"/>
                    <w:bottom w:val="single" w:sz="2" w:space="0" w:color="D9D9E3"/>
                    <w:right w:val="single" w:sz="2" w:space="0" w:color="D9D9E3"/>
                  </w:divBdr>
                  <w:divsChild>
                    <w:div w:id="345178251">
                      <w:marLeft w:val="0"/>
                      <w:marRight w:val="0"/>
                      <w:marTop w:val="0"/>
                      <w:marBottom w:val="0"/>
                      <w:divBdr>
                        <w:top w:val="single" w:sz="2" w:space="0" w:color="D9D9E3"/>
                        <w:left w:val="single" w:sz="2" w:space="0" w:color="D9D9E3"/>
                        <w:bottom w:val="single" w:sz="2" w:space="0" w:color="D9D9E3"/>
                        <w:right w:val="single" w:sz="2" w:space="0" w:color="D9D9E3"/>
                      </w:divBdr>
                      <w:divsChild>
                        <w:div w:id="1584873460">
                          <w:marLeft w:val="0"/>
                          <w:marRight w:val="0"/>
                          <w:marTop w:val="0"/>
                          <w:marBottom w:val="0"/>
                          <w:divBdr>
                            <w:top w:val="single" w:sz="2" w:space="0" w:color="auto"/>
                            <w:left w:val="single" w:sz="2" w:space="0" w:color="auto"/>
                            <w:bottom w:val="single" w:sz="6" w:space="0" w:color="auto"/>
                            <w:right w:val="single" w:sz="2" w:space="0" w:color="auto"/>
                          </w:divBdr>
                          <w:divsChild>
                            <w:div w:id="1735279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070196">
                                  <w:marLeft w:val="0"/>
                                  <w:marRight w:val="0"/>
                                  <w:marTop w:val="0"/>
                                  <w:marBottom w:val="0"/>
                                  <w:divBdr>
                                    <w:top w:val="single" w:sz="2" w:space="0" w:color="D9D9E3"/>
                                    <w:left w:val="single" w:sz="2" w:space="0" w:color="D9D9E3"/>
                                    <w:bottom w:val="single" w:sz="2" w:space="0" w:color="D9D9E3"/>
                                    <w:right w:val="single" w:sz="2" w:space="0" w:color="D9D9E3"/>
                                  </w:divBdr>
                                  <w:divsChild>
                                    <w:div w:id="1460143693">
                                      <w:marLeft w:val="0"/>
                                      <w:marRight w:val="0"/>
                                      <w:marTop w:val="0"/>
                                      <w:marBottom w:val="0"/>
                                      <w:divBdr>
                                        <w:top w:val="single" w:sz="2" w:space="0" w:color="D9D9E3"/>
                                        <w:left w:val="single" w:sz="2" w:space="0" w:color="D9D9E3"/>
                                        <w:bottom w:val="single" w:sz="2" w:space="0" w:color="D9D9E3"/>
                                        <w:right w:val="single" w:sz="2" w:space="0" w:color="D9D9E3"/>
                                      </w:divBdr>
                                      <w:divsChild>
                                        <w:div w:id="2082023719">
                                          <w:marLeft w:val="0"/>
                                          <w:marRight w:val="0"/>
                                          <w:marTop w:val="0"/>
                                          <w:marBottom w:val="0"/>
                                          <w:divBdr>
                                            <w:top w:val="single" w:sz="2" w:space="0" w:color="D9D9E3"/>
                                            <w:left w:val="single" w:sz="2" w:space="0" w:color="D9D9E3"/>
                                            <w:bottom w:val="single" w:sz="2" w:space="0" w:color="D9D9E3"/>
                                            <w:right w:val="single" w:sz="2" w:space="0" w:color="D9D9E3"/>
                                          </w:divBdr>
                                          <w:divsChild>
                                            <w:div w:id="434519418">
                                              <w:marLeft w:val="0"/>
                                              <w:marRight w:val="0"/>
                                              <w:marTop w:val="0"/>
                                              <w:marBottom w:val="0"/>
                                              <w:divBdr>
                                                <w:top w:val="single" w:sz="2" w:space="0" w:color="D9D9E3"/>
                                                <w:left w:val="single" w:sz="2" w:space="0" w:color="D9D9E3"/>
                                                <w:bottom w:val="single" w:sz="2" w:space="0" w:color="D9D9E3"/>
                                                <w:right w:val="single" w:sz="2" w:space="0" w:color="D9D9E3"/>
                                              </w:divBdr>
                                              <w:divsChild>
                                                <w:div w:id="1078789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183629">
          <w:marLeft w:val="0"/>
          <w:marRight w:val="0"/>
          <w:marTop w:val="0"/>
          <w:marBottom w:val="0"/>
          <w:divBdr>
            <w:top w:val="none" w:sz="0" w:space="0" w:color="auto"/>
            <w:left w:val="none" w:sz="0" w:space="0" w:color="auto"/>
            <w:bottom w:val="none" w:sz="0" w:space="0" w:color="auto"/>
            <w:right w:val="none" w:sz="0" w:space="0" w:color="auto"/>
          </w:divBdr>
          <w:divsChild>
            <w:div w:id="461121829">
              <w:marLeft w:val="0"/>
              <w:marRight w:val="0"/>
              <w:marTop w:val="0"/>
              <w:marBottom w:val="0"/>
              <w:divBdr>
                <w:top w:val="single" w:sz="2" w:space="0" w:color="D9D9E3"/>
                <w:left w:val="single" w:sz="2" w:space="0" w:color="D9D9E3"/>
                <w:bottom w:val="single" w:sz="2" w:space="0" w:color="D9D9E3"/>
                <w:right w:val="single" w:sz="2" w:space="0" w:color="D9D9E3"/>
              </w:divBdr>
              <w:divsChild>
                <w:div w:id="562059261">
                  <w:marLeft w:val="0"/>
                  <w:marRight w:val="0"/>
                  <w:marTop w:val="0"/>
                  <w:marBottom w:val="0"/>
                  <w:divBdr>
                    <w:top w:val="single" w:sz="2" w:space="0" w:color="D9D9E3"/>
                    <w:left w:val="single" w:sz="2" w:space="0" w:color="D9D9E3"/>
                    <w:bottom w:val="single" w:sz="2" w:space="0" w:color="D9D9E3"/>
                    <w:right w:val="single" w:sz="2" w:space="0" w:color="D9D9E3"/>
                  </w:divBdr>
                  <w:divsChild>
                    <w:div w:id="47187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9952306">
      <w:bodyDiv w:val="1"/>
      <w:marLeft w:val="0"/>
      <w:marRight w:val="0"/>
      <w:marTop w:val="0"/>
      <w:marBottom w:val="0"/>
      <w:divBdr>
        <w:top w:val="none" w:sz="0" w:space="0" w:color="auto"/>
        <w:left w:val="none" w:sz="0" w:space="0" w:color="auto"/>
        <w:bottom w:val="none" w:sz="0" w:space="0" w:color="auto"/>
        <w:right w:val="none" w:sz="0" w:space="0" w:color="auto"/>
      </w:divBdr>
      <w:divsChild>
        <w:div w:id="694429911">
          <w:marLeft w:val="0"/>
          <w:marRight w:val="0"/>
          <w:marTop w:val="0"/>
          <w:marBottom w:val="0"/>
          <w:divBdr>
            <w:top w:val="single" w:sz="2" w:space="0" w:color="D9D9E3"/>
            <w:left w:val="single" w:sz="2" w:space="0" w:color="D9D9E3"/>
            <w:bottom w:val="single" w:sz="2" w:space="0" w:color="D9D9E3"/>
            <w:right w:val="single" w:sz="2" w:space="0" w:color="D9D9E3"/>
          </w:divBdr>
          <w:divsChild>
            <w:div w:id="338239261">
              <w:marLeft w:val="0"/>
              <w:marRight w:val="0"/>
              <w:marTop w:val="0"/>
              <w:marBottom w:val="0"/>
              <w:divBdr>
                <w:top w:val="single" w:sz="2" w:space="0" w:color="D9D9E3"/>
                <w:left w:val="single" w:sz="2" w:space="0" w:color="D9D9E3"/>
                <w:bottom w:val="single" w:sz="2" w:space="0" w:color="D9D9E3"/>
                <w:right w:val="single" w:sz="2" w:space="0" w:color="D9D9E3"/>
              </w:divBdr>
              <w:divsChild>
                <w:div w:id="1509759155">
                  <w:marLeft w:val="0"/>
                  <w:marRight w:val="0"/>
                  <w:marTop w:val="0"/>
                  <w:marBottom w:val="0"/>
                  <w:divBdr>
                    <w:top w:val="single" w:sz="2" w:space="0" w:color="D9D9E3"/>
                    <w:left w:val="single" w:sz="2" w:space="0" w:color="D9D9E3"/>
                    <w:bottom w:val="single" w:sz="2" w:space="0" w:color="D9D9E3"/>
                    <w:right w:val="single" w:sz="2" w:space="0" w:color="D9D9E3"/>
                  </w:divBdr>
                  <w:divsChild>
                    <w:div w:id="1269702140">
                      <w:marLeft w:val="0"/>
                      <w:marRight w:val="0"/>
                      <w:marTop w:val="0"/>
                      <w:marBottom w:val="0"/>
                      <w:divBdr>
                        <w:top w:val="single" w:sz="2" w:space="0" w:color="D9D9E3"/>
                        <w:left w:val="single" w:sz="2" w:space="0" w:color="D9D9E3"/>
                        <w:bottom w:val="single" w:sz="2" w:space="0" w:color="D9D9E3"/>
                        <w:right w:val="single" w:sz="2" w:space="0" w:color="D9D9E3"/>
                      </w:divBdr>
                      <w:divsChild>
                        <w:div w:id="663820645">
                          <w:marLeft w:val="0"/>
                          <w:marRight w:val="0"/>
                          <w:marTop w:val="0"/>
                          <w:marBottom w:val="0"/>
                          <w:divBdr>
                            <w:top w:val="single" w:sz="2" w:space="0" w:color="auto"/>
                            <w:left w:val="single" w:sz="2" w:space="0" w:color="auto"/>
                            <w:bottom w:val="single" w:sz="6" w:space="0" w:color="auto"/>
                            <w:right w:val="single" w:sz="2" w:space="0" w:color="auto"/>
                          </w:divBdr>
                          <w:divsChild>
                            <w:div w:id="967667511">
                              <w:marLeft w:val="0"/>
                              <w:marRight w:val="0"/>
                              <w:marTop w:val="100"/>
                              <w:marBottom w:val="100"/>
                              <w:divBdr>
                                <w:top w:val="single" w:sz="2" w:space="0" w:color="D9D9E3"/>
                                <w:left w:val="single" w:sz="2" w:space="0" w:color="D9D9E3"/>
                                <w:bottom w:val="single" w:sz="2" w:space="0" w:color="D9D9E3"/>
                                <w:right w:val="single" w:sz="2" w:space="0" w:color="D9D9E3"/>
                              </w:divBdr>
                              <w:divsChild>
                                <w:div w:id="382216710">
                                  <w:marLeft w:val="0"/>
                                  <w:marRight w:val="0"/>
                                  <w:marTop w:val="0"/>
                                  <w:marBottom w:val="0"/>
                                  <w:divBdr>
                                    <w:top w:val="single" w:sz="2" w:space="0" w:color="D9D9E3"/>
                                    <w:left w:val="single" w:sz="2" w:space="0" w:color="D9D9E3"/>
                                    <w:bottom w:val="single" w:sz="2" w:space="0" w:color="D9D9E3"/>
                                    <w:right w:val="single" w:sz="2" w:space="0" w:color="D9D9E3"/>
                                  </w:divBdr>
                                  <w:divsChild>
                                    <w:div w:id="1196163866">
                                      <w:marLeft w:val="0"/>
                                      <w:marRight w:val="0"/>
                                      <w:marTop w:val="0"/>
                                      <w:marBottom w:val="0"/>
                                      <w:divBdr>
                                        <w:top w:val="single" w:sz="2" w:space="0" w:color="D9D9E3"/>
                                        <w:left w:val="single" w:sz="2" w:space="0" w:color="D9D9E3"/>
                                        <w:bottom w:val="single" w:sz="2" w:space="0" w:color="D9D9E3"/>
                                        <w:right w:val="single" w:sz="2" w:space="0" w:color="D9D9E3"/>
                                      </w:divBdr>
                                      <w:divsChild>
                                        <w:div w:id="1280263391">
                                          <w:marLeft w:val="0"/>
                                          <w:marRight w:val="0"/>
                                          <w:marTop w:val="0"/>
                                          <w:marBottom w:val="0"/>
                                          <w:divBdr>
                                            <w:top w:val="single" w:sz="2" w:space="0" w:color="D9D9E3"/>
                                            <w:left w:val="single" w:sz="2" w:space="0" w:color="D9D9E3"/>
                                            <w:bottom w:val="single" w:sz="2" w:space="0" w:color="D9D9E3"/>
                                            <w:right w:val="single" w:sz="2" w:space="0" w:color="D9D9E3"/>
                                          </w:divBdr>
                                          <w:divsChild>
                                            <w:div w:id="114375042">
                                              <w:marLeft w:val="0"/>
                                              <w:marRight w:val="0"/>
                                              <w:marTop w:val="0"/>
                                              <w:marBottom w:val="0"/>
                                              <w:divBdr>
                                                <w:top w:val="single" w:sz="2" w:space="0" w:color="D9D9E3"/>
                                                <w:left w:val="single" w:sz="2" w:space="0" w:color="D9D9E3"/>
                                                <w:bottom w:val="single" w:sz="2" w:space="0" w:color="D9D9E3"/>
                                                <w:right w:val="single" w:sz="2" w:space="0" w:color="D9D9E3"/>
                                              </w:divBdr>
                                              <w:divsChild>
                                                <w:div w:id="1431269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1224288">
          <w:marLeft w:val="0"/>
          <w:marRight w:val="0"/>
          <w:marTop w:val="0"/>
          <w:marBottom w:val="0"/>
          <w:divBdr>
            <w:top w:val="none" w:sz="0" w:space="0" w:color="auto"/>
            <w:left w:val="none" w:sz="0" w:space="0" w:color="auto"/>
            <w:bottom w:val="none" w:sz="0" w:space="0" w:color="auto"/>
            <w:right w:val="none" w:sz="0" w:space="0" w:color="auto"/>
          </w:divBdr>
          <w:divsChild>
            <w:div w:id="564921903">
              <w:marLeft w:val="0"/>
              <w:marRight w:val="0"/>
              <w:marTop w:val="0"/>
              <w:marBottom w:val="0"/>
              <w:divBdr>
                <w:top w:val="single" w:sz="2" w:space="0" w:color="D9D9E3"/>
                <w:left w:val="single" w:sz="2" w:space="0" w:color="D9D9E3"/>
                <w:bottom w:val="single" w:sz="2" w:space="0" w:color="D9D9E3"/>
                <w:right w:val="single" w:sz="2" w:space="0" w:color="D9D9E3"/>
              </w:divBdr>
              <w:divsChild>
                <w:div w:id="1044334234">
                  <w:marLeft w:val="0"/>
                  <w:marRight w:val="0"/>
                  <w:marTop w:val="0"/>
                  <w:marBottom w:val="0"/>
                  <w:divBdr>
                    <w:top w:val="single" w:sz="2" w:space="0" w:color="D9D9E3"/>
                    <w:left w:val="single" w:sz="2" w:space="0" w:color="D9D9E3"/>
                    <w:bottom w:val="single" w:sz="2" w:space="0" w:color="D9D9E3"/>
                    <w:right w:val="single" w:sz="2" w:space="0" w:color="D9D9E3"/>
                  </w:divBdr>
                  <w:divsChild>
                    <w:div w:id="146473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Randhawa</dc:creator>
  <cp:keywords/>
  <dc:description/>
  <cp:lastModifiedBy>Diya Randhawa</cp:lastModifiedBy>
  <cp:revision>2</cp:revision>
  <dcterms:created xsi:type="dcterms:W3CDTF">2023-09-13T01:16:00Z</dcterms:created>
  <dcterms:modified xsi:type="dcterms:W3CDTF">2023-09-13T01:20:00Z</dcterms:modified>
</cp:coreProperties>
</file>