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Bruker Tensor 27 FT-IR Spectrometer</w:t>
      </w:r>
    </w:p>
    <w:p>
      <w:pPr>
        <w:spacing w:after="80"/>
        <w:jc w:val="center"/>
      </w:pPr>
      <w:r>
        <w:rPr>
          <w:b/>
          <w:bCs/>
          <w:sz w:val="28"/>
          <w:szCs w:val="28"/>
        </w:rPr>
        <w:t xml:space="preserve">Ethanol Quick Test — Simplified Procedure</w:t>
      </w:r>
    </w:p>
    <w:p>
      <w:pPr>
        <w:spacing w:after="240"/>
        <w:jc w:val="center"/>
      </w:pPr>
      <w:r>
        <w:rPr>
          <w:i/>
          <w:iCs/>
          <w:color w:val="555555"/>
          <w:sz w:val="20"/>
          <w:szCs w:val="20"/>
        </w:rPr>
        <w:t xml:space="preserve">Spectrometer only — no Hyperion microscope, no liquid nitrogen, no purge gas</w:t>
      </w:r>
    </w:p>
    <w:p>
      <w:pPr>
        <w:pStyle w:val="Heading1"/>
        <w:spacing w:after="140" w:before="260"/>
      </w:pPr>
      <w:r>
        <w:t xml:space="preserve">1. What This Test Does</w:t>
      </w:r>
    </w:p>
    <w:p>
      <w:pPr>
        <w:spacing w:after="120"/>
      </w:pPr>
      <w:r>
        <w:t xml:space="preserve">Runs a drop of ethanol through the Tensor 27 and checks that the resulting spectrum shows the four expected bands (O–H, C–H stretch, C–H bend, C–O). If they're there, the hardware, optics, and OPUS software are all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shd w:fill="FFF4CE" w:val="clear"/>
            <w:tcMar>
              <w:top w:type="dxa" w:w="120"/>
              <w:left w:type="dxa" w:w="180"/>
              <w:bottom w:type="dxa" w:w="120"/>
              <w:right w:type="dxa" w:w="180"/>
            </w:tcMar>
          </w:tcPr>
          <w:p>
            <w:pPr>
              <w:spacing w:after="60"/>
            </w:pPr>
            <w:r>
              <w:rPr>
                <w:b/>
                <w:bCs/>
              </w:rPr>
              <w:t xml:space="preserve">Why the Hyperion is not involved</w:t>
            </w:r>
          </w:p>
          <w:p>
            <w:r>
              <w:t xml:space="preserve">The Hyperion 2000 microscope sits on top of the Tensor 27 but is optically and electrically a separate accessory, with its own MCT detector that requires liquid-nitrogen cooling and its own glass purge dome. For a standalone ethanol test we use only the Tensor 27 sample compartment, which uses the room-temperature DLaTGS detector and its internal desiccant cartridge. No LN₂, no purge gas, no microscope controls.</w:t>
            </w:r>
          </w:p>
        </w:tc>
      </w:tr>
    </w:tbl>
    <w:p>
      <w:pPr>
        <w:spacing w:after="120"/>
      </w:pPr>
      <w:r>
        <w:t xml:space="preserve"/>
      </w:r>
    </w:p>
    <w:p>
      <w:pPr>
        <w:pStyle w:val="Heading1"/>
        <w:spacing w:after="140" w:before="260"/>
      </w:pPr>
      <w:r>
        <w:t xml:space="preserve">2. Bring With You</w:t>
      </w:r>
    </w:p>
    <w:p>
      <w:pPr>
        <w:pStyle w:val="ListParagraph"/>
        <w:numPr>
          <w:ilvl w:val="0"/>
          <w:numId w:val="2"/>
        </w:numPr>
        <w:spacing w:after="60"/>
      </w:pPr>
      <w:r>
        <w:t xml:space="preserve">Ethanol, ≥99% (200-proof / anhydrous preferred)</w:t>
      </w:r>
    </w:p>
    <w:p>
      <w:pPr>
        <w:pStyle w:val="ListParagraph"/>
        <w:numPr>
          <w:ilvl w:val="0"/>
          <w:numId w:val="2"/>
        </w:numPr>
        <w:spacing w:after="60"/>
      </w:pPr>
      <w:r>
        <w:t xml:space="preserve">Disposable glass Pasteur pipette</w:t>
      </w:r>
    </w:p>
    <w:p>
      <w:pPr>
        <w:pStyle w:val="ListParagraph"/>
        <w:numPr>
          <w:ilvl w:val="0"/>
          <w:numId w:val="2"/>
        </w:numPr>
        <w:spacing w:after="60"/>
      </w:pPr>
      <w:r>
        <w:t xml:space="preserve">Lint-free wipes (Kimwipes)</w:t>
      </w:r>
    </w:p>
    <w:p>
      <w:pPr>
        <w:pStyle w:val="ListParagraph"/>
        <w:numPr>
          <w:ilvl w:val="0"/>
          <w:numId w:val="2"/>
        </w:numPr>
        <w:spacing w:after="60"/>
      </w:pPr>
      <w:r>
        <w:t xml:space="preserve">Isopropanol in a small squeeze bottle (for cleaning the ATR crystal)</w:t>
      </w:r>
    </w:p>
    <w:p>
      <w:pPr>
        <w:pStyle w:val="ListParagraph"/>
        <w:numPr>
          <w:ilvl w:val="0"/>
          <w:numId w:val="2"/>
        </w:numPr>
        <w:spacing w:after="60"/>
      </w:pPr>
      <w:r>
        <w:t xml:space="preserve">Nitrile gloves, safety glasses</w:t>
      </w:r>
    </w:p>
    <w:p>
      <w:pPr>
        <w:pStyle w:val="ListParagraph"/>
        <w:numPr>
          <w:ilvl w:val="0"/>
          <w:numId w:val="2"/>
        </w:numPr>
        <w:spacing w:after="60"/>
      </w:pPr>
      <w:r>
        <w:t xml:space="preserve">A USB stick, virus-scanned on your own laptop first (Windows XP is malware-vulnerable)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shd w:fill="E8F4E8" w:val="clear"/>
            <w:tcMar>
              <w:top w:type="dxa" w:w="120"/>
              <w:left w:type="dxa" w:w="180"/>
              <w:bottom w:type="dxa" w:w="120"/>
              <w:right w:type="dxa" w:w="180"/>
            </w:tcMar>
          </w:tcPr>
          <w:p>
            <w:pPr>
              <w:spacing w:after="60"/>
            </w:pPr>
            <w:r>
              <w:rPr>
                <w:b/>
                <w:bCs/>
              </w:rPr>
              <w:t xml:space="preserve">ATR vs. transmission</w:t>
            </w:r>
          </w:p>
          <w:p>
            <w:r>
              <w:t xml:space="preserve">Use the Platinum-ATR (diamond) accessory if it is already mounted on the Tensor 27 sample compartment — it is the fastest path: one drop on the crystal, scan, wipe clean. If the compartment is empty, just leave it empty; you can use a disposable IR card (e.g., 3M Type 61) with a drop of ethanol. Salt plates are not necessary for a functional test.</w:t>
            </w:r>
          </w:p>
        </w:tc>
      </w:tr>
    </w:tbl>
    <w:p>
      <w:pPr>
        <w:spacing w:after="120"/>
      </w:pPr>
      <w:r>
        <w:t xml:space="preserve"/>
      </w:r>
    </w:p>
    <w:p>
      <w:pPr>
        <w:pStyle w:val="Heading1"/>
        <w:spacing w:after="140" w:before="260"/>
      </w:pPr>
      <w:r>
        <w:t xml:space="preserve">3. Quick Pre-Checks (1 minute)</w:t>
      </w:r>
    </w:p>
    <w:p>
      <w:pPr>
        <w:pStyle w:val="ListParagraph"/>
        <w:numPr>
          <w:ilvl w:val="0"/>
          <w:numId w:val="2"/>
        </w:numPr>
        <w:spacing w:after="60"/>
      </w:pPr>
      <w:r>
        <w:t xml:space="preserve">Confirm the sample compartment is empty of leftover samples (the ATR accessory, if installed, should stay).</w:t>
      </w:r>
    </w:p>
    <w:p>
      <w:pPr>
        <w:pStyle w:val="ListParagraph"/>
        <w:numPr>
          <w:ilvl w:val="0"/>
          <w:numId w:val="2"/>
        </w:numPr>
        <w:spacing w:after="60"/>
      </w:pPr>
      <w:r>
        <w:t xml:space="preserve">Glance at the humidity indicator on the spectrometer top plate — if it's blue, you're fine. If it's pink/red, notify the PI (but a quick test is still usually OK).</w:t>
      </w:r>
    </w:p>
    <w:p>
      <w:pPr>
        <w:pStyle w:val="ListParagraph"/>
        <w:numPr>
          <w:ilvl w:val="0"/>
          <w:numId w:val="2"/>
        </w:numPr>
        <w:spacing w:after="60"/>
      </w:pPr>
      <w:r>
        <w:t xml:space="preserve">That's it — no gas tank, no regulator, no flow meter.</w:t>
      </w:r>
    </w:p>
    <w:p>
      <w:pPr>
        <w:spacing w:after="120"/>
      </w:pPr>
      <w:r>
        <w:t xml:space="preserve"/>
      </w:r>
    </w:p>
    <w:p>
      <w:pPr>
        <w:pStyle w:val="Heading1"/>
        <w:spacing w:after="140" w:before="260"/>
      </w:pPr>
      <w:r>
        <w:t xml:space="preserve">4. Start Up</w:t>
      </w:r>
    </w:p>
    <w:p>
      <w:pPr>
        <w:pStyle w:val="ListParagraph"/>
        <w:numPr>
          <w:ilvl w:val="0"/>
          <w:numId w:val="3"/>
        </w:numPr>
        <w:spacing w:after="80"/>
      </w:pPr>
      <w:r>
        <w:rPr>
          <w:b/>
          <w:bCs/>
        </w:rPr>
        <w:t xml:space="preserve">Power on </w:t>
      </w:r>
      <w:r>
        <w:t xml:space="preserve">the Tensor 27 with the main switch on the rear right. Wait ~30–60 s until the front-panel status LED turns green.</w:t>
      </w:r>
    </w:p>
    <w:p>
      <w:pPr>
        <w:pStyle w:val="ListParagraph"/>
        <w:numPr>
          <w:ilvl w:val="0"/>
          <w:numId w:val="3"/>
        </w:numPr>
        <w:spacing w:after="80"/>
      </w:pPr>
      <w:r>
        <w:rPr>
          <w:b/>
          <w:bCs/>
        </w:rPr>
        <w:t xml:space="preserve">Log in </w:t>
      </w:r>
      <w:r>
        <w:t xml:space="preserve">to the lab Windows XP PC and launch OPUS 5.5 from the desktop. Wait for the OPUS status lamp to turn green (spectrometer recognised).</w:t>
      </w:r>
    </w:p>
    <w:p>
      <w:pPr>
        <w:pStyle w:val="ListParagraph"/>
        <w:numPr>
          <w:ilvl w:val="0"/>
          <w:numId w:val="3"/>
        </w:numPr>
        <w:spacing w:after="80"/>
      </w:pPr>
      <w:r>
        <w:rPr>
          <w:b/>
          <w:bCs/>
        </w:rPr>
        <w:t xml:space="preserve">Let the source warm up </w:t>
      </w:r>
      <w:r>
        <w:t xml:space="preserve">for about 10 minutes before your first measurement. Use this time to prepare your ethanol aliquot.</w:t>
      </w:r>
    </w:p>
    <w:p>
      <w:pPr>
        <w:spacing w:after="120"/>
      </w:pPr>
      <w:r>
        <w:t xml:space="preserve"/>
      </w:r>
    </w:p>
    <w:p>
      <w:pPr>
        <w:pStyle w:val="Heading1"/>
        <w:spacing w:after="140" w:before="260"/>
      </w:pPr>
      <w:r>
        <w:t xml:space="preserve">5. Set Measurement Parameters in OPUS</w:t>
      </w:r>
    </w:p>
    <w:p>
      <w:pPr>
        <w:spacing w:after="120"/>
      </w:pPr>
      <w:r>
        <w:t xml:space="preserve">Measure menu → Advanced Measurement. On the Basic tab, click Load and pick the lab's standard Tensor-27 transmission / ATR experiment file if one exists, then adjust. Otherwise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r>
              <w:rPr>
                <w:b/>
                <w:bCs/>
              </w:rPr>
              <w:t xml:space="preserve">Parameter</w:t>
            </w:r>
          </w:p>
        </w:tc>
        <w:tc>
          <w:tcPr>
            <w:tcW w:type="dxa" w:w="536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r>
              <w:rPr>
                <w:b/>
                <w:bCs/>
              </w:rPr>
              <w:t xml:space="preserve">Value</w:t>
            </w:r>
          </w:p>
        </w:tc>
      </w:tr>
      <w:tr>
        <w:trPr>
          <w:tblHeader w:val="false"/>
        </w:trPr>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Spectral range</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4000 – 400 cm⁻¹</w:t>
            </w:r>
          </w:p>
        </w:tc>
      </w:tr>
      <w:tr>
        <w:trPr>
          <w:tblHeader w:val="false"/>
        </w:trPr>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Resolution</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4 cm⁻¹</w:t>
            </w:r>
          </w:p>
        </w:tc>
      </w:tr>
      <w:tr>
        <w:trPr>
          <w:tblHeader w:val="false"/>
        </w:trPr>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Sample scans</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16</w:t>
            </w:r>
          </w:p>
        </w:tc>
      </w:tr>
      <w:tr>
        <w:trPr>
          <w:tblHeader w:val="false"/>
        </w:trPr>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Background scans</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16</w:t>
            </w:r>
          </w:p>
        </w:tc>
      </w:tr>
      <w:tr>
        <w:trPr>
          <w:tblHeader w:val="false"/>
        </w:trPr>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Result spectrum</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Absorbance</w:t>
            </w:r>
          </w:p>
        </w:tc>
      </w:tr>
    </w:tbl>
    <w:p>
      <w:pPr>
        <w:spacing w:after="120"/>
      </w:pPr>
      <w:r>
        <w:t xml:space="preserve"/>
      </w:r>
    </w:p>
    <w:p>
      <w:pPr>
        <w:spacing w:after="120"/>
      </w:pPr>
      <w:r>
        <w:t xml:space="preserve">On the Optic tab, confirm: Detector = DLaTGS (internal), Source = MIR, Beamsplitter = KBr, Measurement channel = Sample Compartment. These should populate automatically via Bruker's ACR (Automatic Component Recognition) — if the Detector field is red or shows MCT/Microscope, change it to DLaTGS.</w:t>
      </w:r>
    </w:p>
    <w:p>
      <w:pPr>
        <w:spacing w:after="120"/>
      </w:pPr>
      <w:r>
        <w:t xml:space="preserve"/>
      </w:r>
    </w:p>
    <w:p>
      <w:pPr>
        <w:pStyle w:val="Heading1"/>
        <w:spacing w:after="140" w:before="260"/>
      </w:pPr>
      <w:r>
        <w:t xml:space="preserve">6. Quick Hardware Check</w:t>
      </w:r>
    </w:p>
    <w:p>
      <w:pPr>
        <w:pStyle w:val="ListParagraph"/>
        <w:numPr>
          <w:ilvl w:val="0"/>
          <w:numId w:val="3"/>
        </w:numPr>
        <w:spacing w:after="80"/>
      </w:pPr>
      <w:r>
        <w:t xml:space="preserve">In the Measurement dialog, switch to the Check Signal tab.</w:t>
      </w:r>
    </w:p>
    <w:p>
      <w:pPr>
        <w:pStyle w:val="ListParagraph"/>
        <w:numPr>
          <w:ilvl w:val="0"/>
          <w:numId w:val="3"/>
        </w:numPr>
        <w:spacing w:after="80"/>
      </w:pPr>
      <w:r>
        <w:t xml:space="preserve">Select Interferogram and click Full Scan.</w:t>
      </w:r>
    </w:p>
    <w:p>
      <w:pPr>
        <w:pStyle w:val="ListParagraph"/>
        <w:numPr>
          <w:ilvl w:val="0"/>
          <w:numId w:val="3"/>
        </w:numPr>
        <w:spacing w:after="80"/>
      </w:pPr>
      <w:r>
        <w:rPr>
          <w:b/>
          <w:bCs/>
        </w:rPr>
        <w:t xml:space="preserve">You should see a sharp centre-burst with amplitude well above 1000 counts </w:t>
      </w:r>
      <w:r>
        <w:t xml:space="preserve">(typical values are tens of thousands). If the centre-burst is absent or tiny, stop and contact the PI — do not proceed.</w:t>
      </w:r>
    </w:p>
    <w:p>
      <w:pPr>
        <w:spacing w:after="120"/>
      </w:pPr>
      <w:r>
        <w:t xml:space="preserve"/>
      </w:r>
    </w:p>
    <w:p>
      <w:pPr>
        <w:pStyle w:val="Heading1"/>
        <w:spacing w:after="140" w:before="260"/>
      </w:pPr>
      <w:r>
        <w:t xml:space="preserve">7. Background Scan</w:t>
      </w:r>
    </w:p>
    <w:p>
      <w:pPr>
        <w:pStyle w:val="ListParagraph"/>
        <w:numPr>
          <w:ilvl w:val="0"/>
          <w:numId w:val="3"/>
        </w:numPr>
        <w:spacing w:after="80"/>
      </w:pPr>
      <w:r>
        <w:t xml:space="preserve">Confirm the sample compartment is empty (or contains a clean, dry ATR crystal).</w:t>
      </w:r>
    </w:p>
    <w:p>
      <w:pPr>
        <w:pStyle w:val="ListParagraph"/>
        <w:numPr>
          <w:ilvl w:val="0"/>
          <w:numId w:val="3"/>
        </w:numPr>
        <w:spacing w:after="80"/>
      </w:pPr>
      <w:r>
        <w:t xml:space="preserve">Back on the Basic tab, set Operator name to your initials and Sample description to e.g. Background_YYYYMMDD.</w:t>
      </w:r>
    </w:p>
    <w:p>
      <w:pPr>
        <w:pStyle w:val="ListParagraph"/>
        <w:numPr>
          <w:ilvl w:val="0"/>
          <w:numId w:val="3"/>
        </w:numPr>
        <w:spacing w:after="80"/>
      </w:pPr>
      <w:r>
        <w:rPr>
          <w:b/>
          <w:bCs/>
        </w:rPr>
        <w:t xml:space="preserve">Click </w:t>
      </w:r>
      <w:r>
        <w:rPr>
          <w:b/>
          <w:bCs/>
          <w:i/>
          <w:iCs/>
        </w:rPr>
        <w:t xml:space="preserve">Background Single Channel</w:t>
      </w:r>
      <w:r>
        <w:t xml:space="preserve">. Scan takes ~15 s.</w:t>
      </w:r>
    </w:p>
    <w:p>
      <w:pPr>
        <w:pStyle w:val="ListParagraph"/>
        <w:numPr>
          <w:ilvl w:val="0"/>
          <w:numId w:val="3"/>
        </w:numPr>
        <w:spacing w:after="80"/>
      </w:pPr>
      <w:r>
        <w:t xml:space="preserve">The resulting single-channel spectrum should be a smooth envelope from ~4000 to 400 cm⁻¹ with a characteristic CO₂ dip near 2350 cm⁻¹. If it looks reasonable, you're good.</w:t>
      </w:r>
    </w:p>
    <w:p>
      <w:pPr>
        <w:spacing w:after="120"/>
      </w:pPr>
      <w:r>
        <w:t xml:space="preserve"/>
      </w:r>
    </w:p>
    <w:p>
      <w:pPr>
        <w:pStyle w:val="Heading1"/>
        <w:spacing w:after="140" w:before="260"/>
      </w:pPr>
      <w:r>
        <w:t xml:space="preserve">8. Run the Ethanol Sample</w:t>
      </w:r>
    </w:p>
    <w:p>
      <w:pPr>
        <w:pStyle w:val="ListParagraph"/>
        <w:numPr>
          <w:ilvl w:val="0"/>
          <w:numId w:val="3"/>
        </w:numPr>
        <w:spacing w:after="80"/>
      </w:pPr>
      <w:r>
        <w:rPr>
          <w:b/>
          <w:bCs/>
        </w:rPr>
        <w:t xml:space="preserve">Put one small drop of ethanol </w:t>
      </w:r>
      <w:r>
        <w:t xml:space="preserve">on the ATR crystal (or on a disposable IR card placed in the sample compartment). About 20 µL — just enough to cover the crystal area.</w:t>
      </w:r>
    </w:p>
    <w:p>
      <w:pPr>
        <w:pStyle w:val="ListParagraph"/>
        <w:numPr>
          <w:ilvl w:val="0"/>
          <w:numId w:val="3"/>
        </w:numPr>
        <w:spacing w:after="80"/>
      </w:pPr>
      <w:r>
        <w:rPr>
          <w:b/>
          <w:bCs/>
        </w:rPr>
        <w:t xml:space="preserve">Change Sample description </w:t>
      </w:r>
      <w:r>
        <w:t xml:space="preserve">to e.g. EtOH_test_YYYYMMDD.</w:t>
      </w:r>
    </w:p>
    <w:p>
      <w:pPr>
        <w:pStyle w:val="ListParagraph"/>
        <w:numPr>
          <w:ilvl w:val="0"/>
          <w:numId w:val="3"/>
        </w:numPr>
        <w:spacing w:after="80"/>
      </w:pPr>
      <w:r>
        <w:rPr>
          <w:b/>
          <w:bCs/>
        </w:rPr>
        <w:t xml:space="preserve">Click </w:t>
      </w:r>
      <w:r>
        <w:rPr>
          <w:b/>
          <w:bCs/>
          <w:i/>
          <w:iCs/>
        </w:rPr>
        <w:t xml:space="preserve">Sample Single Channel</w:t>
      </w:r>
      <w:r>
        <w:t xml:space="preserve"> immediately — ethanol on an open ATR evaporates within a minute.</w:t>
      </w:r>
    </w:p>
    <w:p>
      <w:pPr>
        <w:pStyle w:val="ListParagraph"/>
        <w:numPr>
          <w:ilvl w:val="0"/>
          <w:numId w:val="3"/>
        </w:numPr>
        <w:spacing w:after="80"/>
      </w:pPr>
      <w:r>
        <w:t xml:space="preserve">OPUS divides sample ÷ background automatically and shows the absorbance spectrum.</w:t>
      </w:r>
    </w:p>
    <w:p>
      <w:pPr>
        <w:spacing w:after="120"/>
      </w:pPr>
      <w:r>
        <w:t xml:space="preserve"/>
      </w:r>
    </w:p>
    <w:p>
      <w:pPr>
        <w:pStyle w:val="Heading1"/>
        <w:spacing w:after="140" w:before="260"/>
      </w:pPr>
      <w:r>
        <w:t xml:space="preserve">9. What a Successful Spectrum Looks Like</w:t>
      </w:r>
    </w:p>
    <w:p>
      <w:pPr>
        <w:spacing w:after="120"/>
      </w:pPr>
      <w:r>
        <w:t xml:space="preserve">The absorbance spectrum of neat ethanol should clearly show these four band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5000"/>
      </w:tblGrid>
      <w:tr>
        <w:trPr>
          <w:tblHeader/>
        </w:trPr>
        <w:tc>
          <w:tcPr>
            <w:tcW w:type="dxa" w:w="26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r>
              <w:rPr>
                <w:b/>
                <w:bCs/>
              </w:rPr>
              <w:t xml:space="preserve">Wavenumber (cm⁻¹)</w:t>
            </w:r>
          </w:p>
        </w:tc>
        <w:tc>
          <w:tcPr>
            <w:tcW w:type="dxa" w:w="176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r>
              <w:rPr>
                <w:b/>
                <w:bCs/>
              </w:rPr>
              <w:t xml:space="preserve">Intensity</w:t>
            </w:r>
          </w:p>
        </w:tc>
        <w:tc>
          <w:tcPr>
            <w:tcW w:type="dxa" w:w="50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r>
              <w:rPr>
                <w:b/>
                <w:bCs/>
              </w:rPr>
              <w:t xml:space="preserve">Assignment</w:t>
            </w:r>
          </w:p>
        </w:tc>
      </w:tr>
      <w:tr>
        <w:trPr>
          <w:tblHeader w:val="false"/>
        </w:trP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~3300 (broad)</w:t>
            </w:r>
          </w:p>
        </w:tc>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Strong</w:t>
            </w:r>
          </w:p>
        </w:tc>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O–H stretch (hydroxyl)</w:t>
            </w:r>
          </w:p>
        </w:tc>
      </w:tr>
      <w:tr>
        <w:trPr>
          <w:tblHeader w:val="false"/>
        </w:trP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2970 / 2930 / 2880</w:t>
            </w:r>
          </w:p>
        </w:tc>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Strong</w:t>
            </w:r>
          </w:p>
        </w:tc>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C–H stretch (CH₃, CH₂)</w:t>
            </w:r>
          </w:p>
        </w:tc>
      </w:tr>
      <w:tr>
        <w:trPr>
          <w:tblHeader w:val="false"/>
        </w:trP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~1450 / 1380</w:t>
            </w:r>
          </w:p>
        </w:tc>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Medium</w:t>
            </w:r>
          </w:p>
        </w:tc>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C–H bend</w:t>
            </w:r>
          </w:p>
        </w:tc>
      </w:tr>
      <w:tr>
        <w:trPr>
          <w:tblHeader w:val="false"/>
        </w:trP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~1085 / 1045</w:t>
            </w:r>
          </w:p>
        </w:tc>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Strong</w:t>
            </w:r>
          </w:p>
        </w:tc>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C–O stretch (primary alcohol)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shd w:fill="E8F4E8" w:val="clear"/>
            <w:tcMar>
              <w:top w:type="dxa" w:w="120"/>
              <w:left w:type="dxa" w:w="180"/>
              <w:bottom w:type="dxa" w:w="120"/>
              <w:right w:type="dxa" w:w="180"/>
            </w:tcMar>
          </w:tcPr>
          <w:p>
            <w:pPr>
              <w:spacing w:after="60"/>
            </w:pPr>
            <w:r>
              <w:rPr>
                <w:b/>
                <w:bCs/>
              </w:rPr>
              <w:t xml:space="preserve">Pass criterion</w:t>
            </w:r>
          </w:p>
          <w:p>
            <w:r>
              <w:t xml:space="preserve">If the broad O–H at ~3300 cm⁻¹, the C–H stretches near 2970 cm⁻¹, and the strong C–O stretch near 1050 cm⁻¹ are all clearly visible at roughly the right positions, the instrument and software are working and you're done.</w:t>
            </w:r>
          </w:p>
        </w:tc>
      </w:tr>
    </w:tbl>
    <w:p>
      <w:pPr>
        <w:spacing w:after="120"/>
      </w:pPr>
      <w:r>
        <w:t xml:space="preserve"/>
      </w:r>
    </w:p>
    <w:p>
      <w:pPr>
        <w:pStyle w:val="Heading1"/>
        <w:spacing w:after="140" w:before="260"/>
      </w:pPr>
      <w:r>
        <w:t xml:space="preserve">10. Save the Data</w:t>
      </w:r>
    </w:p>
    <w:p>
      <w:pPr>
        <w:pStyle w:val="ListParagraph"/>
        <w:numPr>
          <w:ilvl w:val="0"/>
          <w:numId w:val="3"/>
        </w:numPr>
        <w:spacing w:after="80"/>
      </w:pPr>
      <w:r>
        <w:t xml:space="preserve">File → Save As — save as OPUS native (.0) to C:\OPUS_Data\[your initials]\.</w:t>
      </w:r>
    </w:p>
    <w:p>
      <w:pPr>
        <w:pStyle w:val="ListParagraph"/>
        <w:numPr>
          <w:ilvl w:val="0"/>
          <w:numId w:val="3"/>
        </w:numPr>
        <w:spacing w:after="80"/>
      </w:pPr>
      <w:r>
        <w:t xml:space="preserve">Then File → Save File As → Data Point Table (.dpt) for a portable copy that opens in Excel.</w:t>
      </w:r>
    </w:p>
    <w:p>
      <w:pPr>
        <w:pStyle w:val="ListParagraph"/>
        <w:numPr>
          <w:ilvl w:val="0"/>
          <w:numId w:val="3"/>
        </w:numPr>
        <w:spacing w:after="80"/>
      </w:pPr>
      <w:r>
        <w:t xml:space="preserve">Copy both files to your USB stick. Do not leave the only copy on the lab PC.</w:t>
      </w:r>
    </w:p>
    <w:p>
      <w:pPr>
        <w:spacing w:after="120"/>
      </w:pPr>
      <w:r>
        <w:t xml:space="preserve"/>
      </w:r>
    </w:p>
    <w:p>
      <w:pPr>
        <w:pStyle w:val="Heading1"/>
        <w:spacing w:after="140" w:before="260"/>
      </w:pPr>
      <w:r>
        <w:t xml:space="preserve">11. Shut Down</w:t>
      </w:r>
    </w:p>
    <w:p>
      <w:pPr>
        <w:pStyle w:val="ListParagraph"/>
        <w:numPr>
          <w:ilvl w:val="0"/>
          <w:numId w:val="3"/>
        </w:numPr>
        <w:spacing w:after="80"/>
      </w:pPr>
      <w:r>
        <w:t xml:space="preserve">Wipe the ATR crystal (or remove the disposable card) with a Kimwipe lightly wet with isopropanol, then dry.</w:t>
      </w:r>
    </w:p>
    <w:p>
      <w:pPr>
        <w:pStyle w:val="ListParagraph"/>
        <w:numPr>
          <w:ilvl w:val="0"/>
          <w:numId w:val="3"/>
        </w:numPr>
        <w:spacing w:after="80"/>
      </w:pPr>
      <w:r>
        <w:t xml:space="preserve">Close OPUS, log out of Windows.</w:t>
      </w:r>
    </w:p>
    <w:p>
      <w:pPr>
        <w:pStyle w:val="ListParagraph"/>
        <w:numPr>
          <w:ilvl w:val="0"/>
          <w:numId w:val="3"/>
        </w:numPr>
        <w:spacing w:after="80"/>
      </w:pPr>
      <w:r>
        <w:t xml:space="preserve">Switch off the Tensor 27 via the rear main switch.</w:t>
      </w:r>
    </w:p>
    <w:p>
      <w:pPr>
        <w:pStyle w:val="ListParagraph"/>
        <w:numPr>
          <w:ilvl w:val="0"/>
          <w:numId w:val="3"/>
        </w:numPr>
        <w:spacing w:after="80"/>
      </w:pPr>
      <w:r>
        <w:t xml:space="preserve">Wipe down the bench, take your consumables and waste with you, record the session in the lab log.</w:t>
      </w:r>
    </w:p>
    <w:p>
      <w:pPr>
        <w:spacing w:after="120"/>
      </w:pPr>
      <w:r>
        <w:t xml:space="preserve"/>
      </w:r>
    </w:p>
    <w:p>
      <w:pPr>
        <w:pStyle w:val="Heading1"/>
        <w:spacing w:after="140" w:before="260"/>
      </w:pPr>
      <w:r>
        <w:t xml:space="preserve">12. Quick Troubleshooting</w:t>
      </w:r>
    </w:p>
    <w:p>
      <w:pPr>
        <w:pStyle w:val="ListParagraph"/>
        <w:numPr>
          <w:ilvl w:val="0"/>
          <w:numId w:val="2"/>
        </w:numPr>
        <w:spacing w:after="60"/>
      </w:pPr>
      <w:r>
        <w:t xml:space="preserve">Flat or near-flat spectrum → background and sample were taken with different parameters; re-run both with identical settings.</w:t>
      </w:r>
    </w:p>
    <w:p>
      <w:pPr>
        <w:pStyle w:val="ListParagraph"/>
        <w:numPr>
          <w:ilvl w:val="0"/>
          <w:numId w:val="2"/>
        </w:numPr>
        <w:spacing w:after="60"/>
      </w:pPr>
      <w:r>
        <w:t xml:space="preserve">Saturated (flat-topped) C–O band → too much liquid; use a smaller drop or a thinner film.</w:t>
      </w:r>
    </w:p>
    <w:p>
      <w:pPr>
        <w:pStyle w:val="ListParagraph"/>
        <w:numPr>
          <w:ilvl w:val="0"/>
          <w:numId w:val="2"/>
        </w:numPr>
        <w:spacing w:after="60"/>
      </w:pPr>
      <w:r>
        <w:t xml:space="preserve">Noticeable water-vapour bands at ~1600 and ~3700 cm⁻¹ → compartment was open too long; close lid, wait 30 s, retake.</w:t>
      </w:r>
    </w:p>
    <w:p>
      <w:pPr>
        <w:pStyle w:val="ListParagraph"/>
        <w:numPr>
          <w:ilvl w:val="0"/>
          <w:numId w:val="2"/>
        </w:numPr>
        <w:spacing w:after="60"/>
      </w:pPr>
      <w:r>
        <w:t xml:space="preserve">Check Signal amplitude &lt; 1000 → source not warmed up, or OPUS is pointed at the microscope MCT channel. On the Optic tab, set Detector to DLaTGS and Measurement channel to Sample Compartment.</w:t>
      </w:r>
    </w:p>
    <w:p>
      <w:pPr>
        <w:pStyle w:val="ListParagraph"/>
        <w:numPr>
          <w:ilvl w:val="0"/>
          <w:numId w:val="2"/>
        </w:numPr>
        <w:spacing w:after="60"/>
      </w:pPr>
      <w:r>
        <w:t xml:space="preserve">"Detector not ready" error → almost always means OPUS is set to the MCT/Microscope channel. Switch to DLaTGS as above.</w:t>
      </w:r>
    </w:p>
    <w:p>
      <w:pPr>
        <w:spacing w:after="120"/>
      </w:pPr>
      <w:r>
        <w:t xml:space="preserve"/>
      </w:r>
    </w:p>
    <w:p>
      <w:pPr>
        <w:pStyle w:val="Heading1"/>
        <w:spacing w:after="140" w:before="260"/>
      </w:pPr>
      <w:r>
        <w:t xml:space="preserve">13. References</w:t>
      </w:r>
    </w:p>
    <w:p>
      <w:pPr>
        <w:pStyle w:val="ListParagraph"/>
        <w:numPr>
          <w:ilvl w:val="0"/>
          <w:numId w:val="2"/>
        </w:numPr>
        <w:spacing w:after="60"/>
      </w:pPr>
      <w:r>
        <w:t xml:space="preserve">Bruker TENSOR User Manual (6th edition, April 2011), Chapter 5: Operation — General Measurement Procedure and Checking the Signal.</w:t>
      </w:r>
    </w:p>
    <w:p>
      <w:pPr>
        <w:pStyle w:val="ListParagraph"/>
        <w:numPr>
          <w:ilvl w:val="0"/>
          <w:numId w:val="2"/>
        </w:numPr>
        <w:spacing w:after="60"/>
      </w:pPr>
      <w:r>
        <w:t xml:space="preserve">UNR SIL Bruker manuals page: argenta2.chem.unr.edu/ftir_bruker.html.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Bruker Tensor 27 — Ethanol Quick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2026-04-19T02:44:18.413Z</dcterms:created>
  <dcterms:modified xsi:type="dcterms:W3CDTF">2026-04-19T02:44:18.413Z</dcterms:modified>
</cp:coreProperties>
</file>

<file path=docProps/custom.xml><?xml version="1.0" encoding="utf-8"?>
<Properties xmlns="http://schemas.openxmlformats.org/officeDocument/2006/custom-properties" xmlns:vt="http://schemas.openxmlformats.org/officeDocument/2006/docPropsVTypes"/>
</file>