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pStyle w:val="PO166"/>
        <w:jc w:val="both"/>
        <w:spacing w:lineRule="auto" w:line="348" w:before="0" w:beforeAutospacing="0" w:after="0" w:afterAutospacing="0"/>
        <w:rPr>
          <w:shd w:val="clear"/>
        </w:rPr>
      </w:pPr>
      <w:r>
        <w:rPr>
          <w:b w:val="1"/>
          <w:color w:val="000000"/>
          <w:sz w:val="32"/>
          <w:szCs w:val="32"/>
          <w:shd w:val="clear"/>
          <w:rFonts w:asciiTheme="majorHAnsi" w:eastAsiaTheme="majorHAnsi" w:hAnsiTheme="majorHAnsi" w:hint="eastAsia"/>
        </w:rPr>
        <w:t> </w:t>
      </w:r>
      <w:r>
        <w:rPr>
          <w:b w:val="1"/>
          <w:color w:val="000000"/>
          <w:sz w:val="32"/>
          <w:szCs w:val="32"/>
          <w:shd w:val="clear"/>
          <w:rFonts w:ascii="바탕" w:eastAsia="바탕" w:hAnsi="바탕" w:cs="바탕" w:hint="eastAsia"/>
        </w:rPr>
        <w:t>󰊱</w:t>
      </w:r>
      <w:r>
        <w:rPr>
          <w:b w:val="1"/>
          <w:color w:val="000000"/>
          <w:sz w:val="32"/>
          <w:szCs w:val="32"/>
          <w:shd w:val="clear"/>
          <w:rFonts w:ascii="휴먼명조" w:eastAsia="휴먼명조" w:hint="eastAsia"/>
        </w:rPr>
        <w:t> </w:t>
      </w:r>
      <w:r>
        <w:rPr>
          <w:b w:val="1"/>
          <w:color w:val="000000"/>
          <w:sz w:val="32"/>
          <w:szCs w:val="32"/>
          <w:shd w:val="clear"/>
          <w:rFonts w:ascii="HCI Poppy" w:hAnsi="HCI Poppy"/>
        </w:rPr>
        <w:t>명칭</w:t>
      </w:r>
    </w:p>
    <w:tbl>
      <w:tblID w:val="0"/>
      <w:tblPr>
        <w:tblCellMar>
          <w:left w:w="84" w:type="dxa"/>
          <w:top w:w="84" w:type="dxa"/>
          <w:right w:w="84" w:type="dxa"/>
          <w:bottom w:w="84" w:type="dxa"/>
        </w:tblCellMar>
        <w:tblW w:w="9525" w:type="dxa"/>
        <w:tblInd w:w="57" w:type="dxa"/>
        <w:tblLook w:val="0004A0" w:firstRow="1" w:lastRow="0" w:firstColumn="1" w:lastColumn="0" w:noHBand="0" w:noVBand="1"/>
        <w:tblLayout w:type="fixed"/>
      </w:tblPr>
      <w:tblGrid>
        <w:gridCol w:w="9525"/>
      </w:tblGrid>
      <w:tr>
        <w:trPr/>
        <w:tc>
          <w:tcPr>
            <w:tcW w:type="dxa" w:w="952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both"/>
              <w:spacing w:lineRule="auto" w:line="335" w:after="0"/>
              <w:ind w:left="300" w:hanging="300"/>
              <w:rPr>
                <w:b w:val="1"/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z w:val="26"/>
                <w:szCs w:val="26"/>
                <w:shd w:val="clear"/>
                <w:rFonts w:ascii="휴먼명조" w:eastAsia="휴먼명조" w:hAnsi="굴림" w:cs="굴림" w:hint="eastAsia"/>
              </w:rPr>
              <w:t> </w:t>
            </w:r>
            <w:r>
              <w:rPr>
                <w:rStyle w:val="PO20"/>
                <w:b w:val="0"/>
                <w:shd w:val="clear"/>
              </w:rPr>
              <w:t>명칭:</w:t>
            </w:r>
            <w:r>
              <w:rPr>
                <w:b w:val="1"/>
                <w:shd w:val="clear"/>
              </w:rPr>
              <w:t xml:space="preserve"> </w:t>
            </w:r>
            <w:r>
              <w:rPr>
                <w:rStyle w:val="PO20"/>
                <w:b w:val="0"/>
                <w:shd w:val="clear"/>
              </w:rPr>
              <w:t xml:space="preserve">K-FACT (Korean Factory Analysis and Choice Tool)</w:t>
            </w:r>
          </w:p>
        </w:tc>
      </w:tr>
    </w:tbl>
    <w:p>
      <w:pPr>
        <w:jc w:val="both"/>
        <w:spacing w:lineRule="auto" w:line="348" w:after="0"/>
        <w:rPr>
          <w:b w:val="1"/>
          <w:color w:val="000000"/>
          <w:sz w:val="16"/>
          <w:szCs w:val="16"/>
          <w:shd w:val="clear"/>
          <w:rFonts w:ascii="휴먼명조" w:eastAsia="휴먼명조" w:hAnsi="굴림" w:cs="굴림"/>
        </w:rPr>
        <w:wordWrap w:val="1"/>
        <w:widowControl w:val="1"/>
        <w:autoSpaceDE w:val="1"/>
        <w:autoSpaceDN w:val="1"/>
      </w:pPr>
    </w:p>
    <w:p>
      <w:pPr>
        <w:jc w:val="both"/>
        <w:spacing w:lineRule="auto" w:line="348" w:after="0"/>
        <w:rPr>
          <w:sz w:val="24"/>
          <w:szCs w:val="24"/>
          <w:shd w:val="clear"/>
          <w:rFonts w:ascii="굴림" w:eastAsia="굴림" w:hAnsi="굴림" w:cs="굴림"/>
        </w:rPr>
        <w:wordWrap w:val="1"/>
        <w:widowControl w:val="1"/>
        <w:autoSpaceDE w:val="1"/>
        <w:autoSpaceDN w:val="1"/>
      </w:pPr>
      <w:r>
        <w:rPr>
          <w:b w:val="1"/>
          <w:color w:val="000000"/>
          <w:sz w:val="32"/>
          <w:szCs w:val="32"/>
          <w:shd w:val="clear"/>
          <w:rFonts w:ascii="바탕" w:eastAsia="바탕" w:hAnsi="바탕" w:cs="바탕" w:hint="eastAsia"/>
        </w:rPr>
        <w:t>󰊲</w:t>
      </w:r>
      <w:r>
        <w:rPr>
          <w:b w:val="1"/>
          <w:color w:val="000000"/>
          <w:sz w:val="32"/>
          <w:szCs w:val="32"/>
          <w:shd w:val="clear"/>
          <w:rFonts w:ascii="휴먼명조" w:eastAsia="휴먼명조" w:hAnsi="굴림" w:cs="굴림" w:hint="eastAsia"/>
        </w:rPr>
        <w:t> </w:t>
      </w:r>
      <w:r>
        <w:rPr>
          <w:b w:val="1"/>
          <w:color w:val="000000"/>
          <w:sz w:val="32"/>
          <w:szCs w:val="32"/>
          <w:shd w:val="clear"/>
          <w:rFonts w:ascii="HCI Poppy" w:eastAsia="굴림" w:hAnsi="HCI Poppy" w:cs="굴림"/>
        </w:rPr>
        <w:t>제안배경</w:t>
      </w:r>
    </w:p>
    <w:tbl>
      <w:tblID w:val="0"/>
      <w:tblPr>
        <w:tblCellMar>
          <w:left w:w="84" w:type="dxa"/>
          <w:top w:w="84" w:type="dxa"/>
          <w:right w:w="84" w:type="dxa"/>
          <w:bottom w:w="84" w:type="dxa"/>
        </w:tblCellMar>
        <w:tblW w:w="9525" w:type="dxa"/>
        <w:tblInd w:w="57" w:type="dxa"/>
        <w:tblLook w:val="0004A0" w:firstRow="1" w:lastRow="0" w:firstColumn="1" w:lastColumn="0" w:noHBand="0" w:noVBand="1"/>
        <w:tblLayout w:type="fixed"/>
      </w:tblPr>
      <w:tblGrid>
        <w:gridCol w:w="9525"/>
      </w:tblGrid>
      <w:tr>
        <w:trPr/>
        <w:tc>
          <w:tcPr>
            <w:tcW w:type="dxa" w:w="952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spacing w:before="100" w:beforeAutospacing="1" w:after="100" w:afterAutospacing="1"/>
              <w:rPr>
                <w:shd w:val="clear"/>
                <w:rFonts w:hAnsi="굴림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z w:val="26"/>
                <w:szCs w:val="26"/>
                <w:shd w:val="clear"/>
                <w:rFonts w:ascii="휴먼명조" w:eastAsia="휴먼명조" w:hAnsi="굴림" w:cs="굴림" w:hint="eastAsia"/>
              </w:rPr>
              <w:t> </w:t>
            </w:r>
            <w:r>
              <w:rPr>
                <w:shd w:val="clear"/>
                <w:rFonts w:ascii="굴림" w:eastAsia="굴림" w:hAnsi="굴림" w:cs="굴림"/>
              </w:rPr>
              <w:t xml:space="preserve">산업단지와 같은 공장 집적지는 비슷한 업종의 공장들이 밀집해 있어 다양한 시너지 </w:t>
            </w:r>
            <w:r>
              <w:rPr>
                <w:shd w:val="clear"/>
                <w:rFonts w:ascii="굴림" w:eastAsia="굴림" w:hAnsi="굴림" w:cs="굴림"/>
              </w:rPr>
              <w:t xml:space="preserve">효과를 창출할 수 있습니다. 이러한 효과는 기업들이 상호 협력하고 경쟁하며, 기술을 </w:t>
            </w:r>
            <w:r>
              <w:rPr>
                <w:shd w:val="clear"/>
                <w:rFonts w:ascii="굴림" w:eastAsia="굴림" w:hAnsi="굴림" w:cs="굴림"/>
              </w:rPr>
              <w:t xml:space="preserve">빠르게 공유하고, 인재를 유치하는 데 큰 도움을 줍니다. 아래는 한국에서 성공적으로 </w:t>
            </w:r>
            <w:r>
              <w:rPr>
                <w:shd w:val="clear"/>
                <w:rFonts w:ascii="굴림" w:eastAsia="굴림" w:hAnsi="굴림" w:cs="굴림"/>
              </w:rPr>
              <w:t xml:space="preserve">발생한 산업 집적지의 세 가지 사례입니다.</w:t>
            </w:r>
          </w:p>
          <w:p>
            <w:pPr>
              <w:pStyle w:val="PO166"/>
              <w:rPr>
                <w:sz w:val="22"/>
                <w:szCs w:val="22"/>
                <w:shd w:val="clear"/>
              </w:rPr>
            </w:pPr>
            <w:r>
              <w:rPr>
                <w:sz w:val="22"/>
                <w:szCs w:val="22"/>
                <w:shd w:val="clear"/>
                <w:rFonts w:hAnsi="Symbol"/>
              </w:rPr>
              <w:t></w:t>
            </w:r>
            <w:r>
              <w:rPr>
                <w:sz w:val="22"/>
                <w:szCs w:val="22"/>
                <w:shd w:val="clear"/>
              </w:rPr>
              <w:t xml:space="preserve"> </w:t>
            </w:r>
            <w:r>
              <w:rPr>
                <w:rStyle w:val="PO20"/>
                <w:sz w:val="22"/>
                <w:szCs w:val="22"/>
                <w:shd w:val="clear"/>
              </w:rPr>
              <w:t xml:space="preserve">홍릉 바이오 클러스터</w:t>
            </w:r>
            <w:r>
              <w:rPr>
                <w:rStyle w:val="PO20"/>
                <w:sz w:val="22"/>
                <w:szCs w:val="22"/>
                <w:shd w:val="clear"/>
                <w:rFonts w:hint="eastAsia"/>
              </w:rPr>
              <w:t>:</w:t>
            </w:r>
            <w:r>
              <w:rPr>
                <w:sz w:val="22"/>
                <w:szCs w:val="22"/>
                <w:shd w:val="clear"/>
              </w:rPr>
              <w:t xml:space="preserve"> 서울 홍릉에 위치한 바이오 클러스터는 고려대학교 병원, </w:t>
            </w:r>
            <w:r>
              <w:rPr>
                <w:sz w:val="22"/>
                <w:szCs w:val="22"/>
                <w:shd w:val="clear"/>
              </w:rPr>
              <w:t xml:space="preserve">경희대학교 병원 등과 연계되어 있습니다. 이 지역의 바이오</w:t>
            </w:r>
            <w:r>
              <w:rPr>
                <w:sz w:val="22"/>
                <w:szCs w:val="22"/>
                <w:shd w:val="clear"/>
                <w:rFonts w:hint="eastAsia"/>
              </w:rPr>
              <w:t xml:space="preserve"> </w:t>
            </w:r>
            <w:r>
              <w:rPr>
                <w:sz w:val="22"/>
                <w:szCs w:val="22"/>
                <w:shd w:val="clear"/>
              </w:rPr>
              <w:t xml:space="preserve">메디컬 산업은 의약품 제조, </w:t>
            </w:r>
            <w:r>
              <w:rPr>
                <w:sz w:val="22"/>
                <w:szCs w:val="22"/>
                <w:shd w:val="clear"/>
              </w:rPr>
              <w:t xml:space="preserve">의료 기기, 보건업 등으로 구성되어 있으며, 관련 기업들이 집중되어 있습니다. 조사에 </w:t>
            </w:r>
            <w:r>
              <w:rPr>
                <w:sz w:val="22"/>
                <w:szCs w:val="22"/>
                <w:shd w:val="clear"/>
              </w:rPr>
              <w:t xml:space="preserve">따르면, </w:t>
            </w:r>
            <w:r>
              <w:rPr>
                <w:b w:val="1"/>
                <w:sz w:val="22"/>
                <w:szCs w:val="22"/>
                <w:shd w:val="clear"/>
              </w:rPr>
              <w:t xml:space="preserve">이 지역에 위치한 기업들은 70.2%가 시너지 효과를 누리고 있으며, 이는 </w:t>
            </w:r>
            <w:r>
              <w:rPr>
                <w:b w:val="1"/>
                <w:sz w:val="22"/>
                <w:szCs w:val="22"/>
                <w:shd w:val="clear"/>
              </w:rPr>
              <w:t xml:space="preserve">비집적지의 19.2%보다 훨씬 높은 수치입니다</w:t>
            </w:r>
            <w:r>
              <w:rPr>
                <w:b w:val="1"/>
                <w:sz w:val="22"/>
                <w:szCs w:val="22"/>
                <w:shd w:val="clear"/>
                <w:rFonts w:ascii="Cambria Math" w:hAnsi="Cambria Math" w:cs="Cambria Math"/>
              </w:rPr>
              <w:t>​​</w:t>
            </w:r>
            <w:r>
              <w:rPr>
                <w:b w:val="1"/>
                <w:sz w:val="22"/>
                <w:szCs w:val="22"/>
                <w:shd w:val="clear"/>
              </w:rPr>
              <w:t>.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z w:val="20"/>
              </w:rPr>
              <w:drawing>
                <wp:inline distT="0" distB="0" distL="0" distR="0">
                  <wp:extent cx="5731510" cy="304165"/>
                  <wp:effectExtent l="0" t="0" r="2540" b="635"/>
                  <wp:docPr id="1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/Users/vivid/AppData/Roaming/PolarisOffice/ETemp/9552_11243624/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0480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166"/>
              <w:jc w:val="center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  <w:rFonts w:hint="eastAsia"/>
              </w:rPr>
              <w:t>(</w:t>
            </w:r>
            <w:r>
              <w:rPr>
                <w:sz w:val="16"/>
                <w:szCs w:val="16"/>
                <w:shd w:val="clear"/>
              </w:rPr>
              <w:t>https://www.metroseoul.co.kr/article/2019070300105</w:t>
            </w:r>
            <w:r>
              <w:rPr>
                <w:sz w:val="16"/>
                <w:szCs w:val="16"/>
                <w:shd w:val="clear"/>
                <w:rFonts w:hint="eastAsia"/>
              </w:rPr>
              <w:t>)</w:t>
            </w:r>
          </w:p>
          <w:p>
            <w:pPr>
              <w:pStyle w:val="PO166"/>
              <w:rPr>
                <w:sz w:val="22"/>
                <w:szCs w:val="22"/>
                <w:shd w:val="clear"/>
              </w:rPr>
            </w:pPr>
            <w:r>
              <w:rPr>
                <w:sz w:val="22"/>
                <w:szCs w:val="22"/>
                <w:shd w:val="clear"/>
                <w:rFonts w:hAnsi="Symbol"/>
              </w:rPr>
              <w:t></w:t>
            </w:r>
            <w:r>
              <w:rPr>
                <w:sz w:val="22"/>
                <w:szCs w:val="22"/>
                <w:shd w:val="clear"/>
              </w:rPr>
              <w:t xml:space="preserve"> </w:t>
            </w:r>
            <w:r>
              <w:rPr>
                <w:rStyle w:val="PO20"/>
                <w:sz w:val="22"/>
                <w:szCs w:val="22"/>
                <w:shd w:val="clear"/>
                <w:rFonts w:hint="eastAsia"/>
              </w:rPr>
              <w:t>창원국가산업단지:</w:t>
            </w:r>
            <w:r>
              <w:rPr>
                <w:sz w:val="22"/>
                <w:szCs w:val="22"/>
                <w:shd w:val="clear"/>
              </w:rPr>
              <w:t xml:space="preserve"> 창원은 한국 최대의 기계 산업 집적지로, 다양한 기계 제조 기업들이 </w:t>
            </w:r>
            <w:r>
              <w:rPr>
                <w:sz w:val="22"/>
                <w:szCs w:val="22"/>
                <w:shd w:val="clear"/>
              </w:rPr>
              <w:t xml:space="preserve">밀집해 있습니다. 이 지역의 기업들은 부품 조달, 기술 개발, 인력 교육 등의 측면에서 큰 </w:t>
            </w:r>
            <w:r>
              <w:rPr>
                <w:sz w:val="22"/>
                <w:szCs w:val="22"/>
                <w:shd w:val="clear"/>
              </w:rPr>
              <w:t xml:space="preserve">이점을 누리고 있으며, 서로 협력하여 생산성을 높이고 있습니다. 창원</w:t>
            </w:r>
            <w:r>
              <w:rPr>
                <w:sz w:val="22"/>
                <w:szCs w:val="22"/>
                <w:shd w:val="clear"/>
                <w:rFonts w:hint="eastAsia"/>
              </w:rPr>
              <w:t>국가</w:t>
            </w:r>
            <w:r>
              <w:rPr>
                <w:sz w:val="22"/>
                <w:szCs w:val="22"/>
                <w:shd w:val="clear"/>
              </w:rPr>
              <w:t>산</w:t>
            </w:r>
            <w:r>
              <w:rPr>
                <w:sz w:val="22"/>
                <w:szCs w:val="22"/>
                <w:shd w:val="clear"/>
                <w:rFonts w:hint="eastAsia"/>
              </w:rPr>
              <w:t>업</w:t>
            </w:r>
            <w:r>
              <w:rPr>
                <w:sz w:val="22"/>
                <w:szCs w:val="22"/>
                <w:shd w:val="clear"/>
              </w:rPr>
              <w:t>단</w:t>
            </w:r>
            <w:r>
              <w:rPr>
                <w:sz w:val="22"/>
                <w:szCs w:val="22"/>
                <w:shd w:val="clear"/>
                <w:rFonts w:hint="eastAsia"/>
              </w:rPr>
              <w:t>지</w:t>
            </w:r>
            <w:r>
              <w:rPr>
                <w:sz w:val="22"/>
                <w:szCs w:val="22"/>
                <w:shd w:val="clear"/>
              </w:rPr>
              <w:t xml:space="preserve">의 기계 </w:t>
            </w:r>
            <w:r>
              <w:rPr>
                <w:sz w:val="22"/>
                <w:szCs w:val="22"/>
                <w:shd w:val="clear"/>
              </w:rPr>
              <w:t xml:space="preserve">산업은 국가 경제의 중요한 부분을 차지하며, 지속적인 성장을 이루고 있습니다</w:t>
            </w:r>
            <w:r>
              <w:rPr>
                <w:sz w:val="22"/>
                <w:szCs w:val="22"/>
                <w:shd w:val="clear"/>
                <w:rFonts w:ascii="Cambria Math" w:hAnsi="Cambria Math" w:cs="Cambria Math"/>
              </w:rPr>
              <w:t>​​</w:t>
            </w:r>
            <w:r>
              <w:rPr>
                <w:sz w:val="22"/>
                <w:szCs w:val="22"/>
                <w:shd w:val="clear"/>
              </w:rPr>
              <w:t>.</w:t>
            </w:r>
          </w:p>
          <w:p>
            <w:pPr>
              <w:pStyle w:val="PO166"/>
              <w:spacing w:after="0" w:afterAutospacing="0"/>
              <w:rPr>
                <w:shd w:val="clear"/>
              </w:rPr>
            </w:pPr>
            <w:r>
              <w:rPr>
                <w:sz w:val="20"/>
              </w:rPr>
              <w:drawing>
                <wp:inline distT="0" distB="0" distL="0" distR="0">
                  <wp:extent cx="5731510" cy="1425575"/>
                  <wp:effectExtent l="0" t="0" r="2540" b="3175"/>
                  <wp:docPr id="1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/Users/vivid/AppData/Roaming/PolarisOffice/ETemp/9552_11243624/ima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42621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166"/>
              <w:jc w:val="center"/>
              <w:spacing w:before="0" w:beforeAutospacing="0" w:after="0" w:afterAutospacing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  <w:rFonts w:hint="eastAsia"/>
              </w:rPr>
              <w:t>(</w:t>
            </w:r>
            <w:r>
              <w:fldChar w:fldCharType="begin"/>
            </w:r>
            <w:r>
              <w:instrText xml:space="preserve">HYPERLINK "https://www.cwnic50th.or.kr/main/main.php"</w:instrText>
            </w:r>
            <w:r>
              <w:fldChar w:fldCharType="separate"/>
            </w:r>
            <w:r>
              <w:rPr>
                <w:rStyle w:val="PO164"/>
                <w:sz w:val="16"/>
                <w:szCs w:val="16"/>
                <w:shd w:val="clear"/>
              </w:rPr>
              <w:t>h</w:t>
            </w:r>
            <w:r>
              <w:rPr>
                <w:rStyle w:val="PO164"/>
                <w:sz w:val="16"/>
                <w:szCs w:val="16"/>
                <w:shd w:val="clear"/>
              </w:rPr>
              <w:t>t</w:t>
            </w:r>
            <w:r>
              <w:rPr>
                <w:rStyle w:val="PO164"/>
                <w:sz w:val="16"/>
                <w:szCs w:val="16"/>
                <w:shd w:val="clear"/>
              </w:rPr>
              <w:t>t</w:t>
            </w:r>
            <w:r>
              <w:rPr>
                <w:rStyle w:val="PO164"/>
                <w:sz w:val="16"/>
                <w:szCs w:val="16"/>
                <w:shd w:val="clear"/>
              </w:rPr>
              <w:t>p</w:t>
            </w:r>
            <w:r>
              <w:rPr>
                <w:rStyle w:val="PO164"/>
                <w:sz w:val="16"/>
                <w:szCs w:val="16"/>
                <w:shd w:val="clear"/>
              </w:rPr>
              <w:t>s</w:t>
            </w:r>
            <w:r>
              <w:rPr>
                <w:rStyle w:val="PO164"/>
                <w:sz w:val="16"/>
                <w:szCs w:val="16"/>
                <w:shd w:val="clear"/>
              </w:rPr>
              <w:t>:</w:t>
            </w:r>
            <w:r>
              <w:rPr>
                <w:rStyle w:val="PO164"/>
                <w:sz w:val="16"/>
                <w:szCs w:val="16"/>
                <w:shd w:val="clear"/>
              </w:rPr>
              <w:t>/</w:t>
            </w:r>
            <w:r>
              <w:rPr>
                <w:rStyle w:val="PO164"/>
                <w:sz w:val="16"/>
                <w:szCs w:val="16"/>
                <w:shd w:val="clear"/>
              </w:rPr>
              <w:t>/</w:t>
            </w:r>
            <w:r>
              <w:rPr>
                <w:rStyle w:val="PO164"/>
                <w:sz w:val="16"/>
                <w:szCs w:val="16"/>
                <w:shd w:val="clear"/>
              </w:rPr>
              <w:t>w</w:t>
            </w:r>
            <w:r>
              <w:rPr>
                <w:rStyle w:val="PO164"/>
                <w:sz w:val="16"/>
                <w:szCs w:val="16"/>
                <w:shd w:val="clear"/>
              </w:rPr>
              <w:t>w</w:t>
            </w:r>
            <w:r>
              <w:rPr>
                <w:rStyle w:val="PO164"/>
                <w:sz w:val="16"/>
                <w:szCs w:val="16"/>
                <w:shd w:val="clear"/>
              </w:rPr>
              <w:t>w</w:t>
            </w:r>
            <w:r>
              <w:rPr>
                <w:rStyle w:val="PO164"/>
                <w:sz w:val="16"/>
                <w:szCs w:val="16"/>
                <w:shd w:val="clear"/>
              </w:rPr>
              <w:t>.</w:t>
            </w:r>
            <w:r>
              <w:rPr>
                <w:rStyle w:val="PO164"/>
                <w:sz w:val="16"/>
                <w:szCs w:val="16"/>
                <w:shd w:val="clear"/>
              </w:rPr>
              <w:t>c</w:t>
            </w:r>
            <w:r>
              <w:rPr>
                <w:rStyle w:val="PO164"/>
                <w:sz w:val="16"/>
                <w:szCs w:val="16"/>
                <w:shd w:val="clear"/>
              </w:rPr>
              <w:t>w</w:t>
            </w:r>
            <w:r>
              <w:rPr>
                <w:rStyle w:val="PO164"/>
                <w:sz w:val="16"/>
                <w:szCs w:val="16"/>
                <w:shd w:val="clear"/>
              </w:rPr>
              <w:t>n</w:t>
            </w:r>
            <w:r>
              <w:rPr>
                <w:rStyle w:val="PO164"/>
                <w:sz w:val="16"/>
                <w:szCs w:val="16"/>
                <w:shd w:val="clear"/>
              </w:rPr>
              <w:t>i</w:t>
            </w:r>
            <w:r>
              <w:rPr>
                <w:rStyle w:val="PO164"/>
                <w:sz w:val="16"/>
                <w:szCs w:val="16"/>
                <w:shd w:val="clear"/>
              </w:rPr>
              <w:t>c</w:t>
            </w:r>
            <w:r>
              <w:rPr>
                <w:rStyle w:val="PO164"/>
                <w:sz w:val="16"/>
                <w:szCs w:val="16"/>
                <w:shd w:val="clear"/>
              </w:rPr>
              <w:t>5</w:t>
            </w:r>
            <w:r>
              <w:rPr>
                <w:rStyle w:val="PO164"/>
                <w:sz w:val="16"/>
                <w:szCs w:val="16"/>
                <w:shd w:val="clear"/>
              </w:rPr>
              <w:t>0</w:t>
            </w:r>
            <w:r>
              <w:rPr>
                <w:rStyle w:val="PO164"/>
                <w:sz w:val="16"/>
                <w:szCs w:val="16"/>
                <w:shd w:val="clear"/>
              </w:rPr>
              <w:t>t</w:t>
            </w:r>
            <w:r>
              <w:rPr>
                <w:rStyle w:val="PO164"/>
                <w:sz w:val="16"/>
                <w:szCs w:val="16"/>
                <w:shd w:val="clear"/>
              </w:rPr>
              <w:t>h</w:t>
            </w:r>
            <w:r>
              <w:rPr>
                <w:rStyle w:val="PO164"/>
                <w:sz w:val="16"/>
                <w:szCs w:val="16"/>
                <w:shd w:val="clear"/>
              </w:rPr>
              <w:t>.</w:t>
            </w:r>
            <w:r>
              <w:rPr>
                <w:rStyle w:val="PO164"/>
                <w:sz w:val="16"/>
                <w:szCs w:val="16"/>
                <w:shd w:val="clear"/>
              </w:rPr>
              <w:t>o</w:t>
            </w:r>
            <w:r>
              <w:rPr>
                <w:rStyle w:val="PO164"/>
                <w:sz w:val="16"/>
                <w:szCs w:val="16"/>
                <w:shd w:val="clear"/>
              </w:rPr>
              <w:t>r</w:t>
            </w:r>
            <w:r>
              <w:rPr>
                <w:rStyle w:val="PO164"/>
                <w:sz w:val="16"/>
                <w:szCs w:val="16"/>
                <w:shd w:val="clear"/>
              </w:rPr>
              <w:t>.</w:t>
            </w:r>
            <w:r>
              <w:rPr>
                <w:rStyle w:val="PO164"/>
                <w:sz w:val="16"/>
                <w:szCs w:val="16"/>
                <w:shd w:val="clear"/>
              </w:rPr>
              <w:t>k</w:t>
            </w:r>
            <w:r>
              <w:rPr>
                <w:rStyle w:val="PO164"/>
                <w:sz w:val="16"/>
                <w:szCs w:val="16"/>
                <w:shd w:val="clear"/>
              </w:rPr>
              <w:t>r</w:t>
            </w:r>
            <w:r>
              <w:rPr>
                <w:rStyle w:val="PO164"/>
                <w:sz w:val="16"/>
                <w:szCs w:val="16"/>
                <w:shd w:val="clear"/>
              </w:rPr>
              <w:t>/</w:t>
            </w:r>
            <w:r>
              <w:rPr>
                <w:rStyle w:val="PO164"/>
                <w:sz w:val="16"/>
                <w:szCs w:val="16"/>
                <w:shd w:val="clear"/>
              </w:rPr>
              <w:t>m</w:t>
            </w:r>
            <w:r>
              <w:rPr>
                <w:rStyle w:val="PO164"/>
                <w:sz w:val="16"/>
                <w:szCs w:val="16"/>
                <w:shd w:val="clear"/>
              </w:rPr>
              <w:t>a</w:t>
            </w:r>
            <w:r>
              <w:rPr>
                <w:rStyle w:val="PO164"/>
                <w:sz w:val="16"/>
                <w:szCs w:val="16"/>
                <w:shd w:val="clear"/>
              </w:rPr>
              <w:t>i</w:t>
            </w:r>
            <w:r>
              <w:rPr>
                <w:rStyle w:val="PO164"/>
                <w:sz w:val="16"/>
                <w:szCs w:val="16"/>
                <w:shd w:val="clear"/>
              </w:rPr>
              <w:t>n</w:t>
            </w:r>
            <w:r>
              <w:rPr>
                <w:rStyle w:val="PO164"/>
                <w:sz w:val="16"/>
                <w:szCs w:val="16"/>
                <w:shd w:val="clear"/>
              </w:rPr>
              <w:t>/</w:t>
            </w:r>
            <w:r>
              <w:rPr>
                <w:rStyle w:val="PO164"/>
                <w:sz w:val="16"/>
                <w:szCs w:val="16"/>
                <w:shd w:val="clear"/>
              </w:rPr>
              <w:t>m</w:t>
            </w:r>
            <w:r>
              <w:rPr>
                <w:rStyle w:val="PO164"/>
                <w:sz w:val="16"/>
                <w:szCs w:val="16"/>
                <w:shd w:val="clear"/>
              </w:rPr>
              <w:t>a</w:t>
            </w:r>
            <w:r>
              <w:rPr>
                <w:rStyle w:val="PO164"/>
                <w:sz w:val="16"/>
                <w:szCs w:val="16"/>
                <w:shd w:val="clear"/>
              </w:rPr>
              <w:t>i</w:t>
            </w:r>
            <w:r>
              <w:rPr>
                <w:rStyle w:val="PO164"/>
                <w:sz w:val="16"/>
                <w:szCs w:val="16"/>
                <w:shd w:val="clear"/>
              </w:rPr>
              <w:t>n</w:t>
            </w:r>
            <w:r>
              <w:rPr>
                <w:rStyle w:val="PO164"/>
                <w:sz w:val="16"/>
                <w:szCs w:val="16"/>
                <w:shd w:val="clear"/>
              </w:rPr>
              <w:t>.</w:t>
            </w:r>
            <w:r>
              <w:rPr>
                <w:rStyle w:val="PO164"/>
                <w:sz w:val="16"/>
                <w:szCs w:val="16"/>
                <w:shd w:val="clear"/>
              </w:rPr>
              <w:t>p</w:t>
            </w:r>
            <w:r>
              <w:rPr>
                <w:rStyle w:val="PO164"/>
                <w:sz w:val="16"/>
                <w:szCs w:val="16"/>
                <w:shd w:val="clear"/>
              </w:rPr>
              <w:t>h</w:t>
            </w:r>
            <w:r>
              <w:rPr>
                <w:rStyle w:val="PO164"/>
                <w:sz w:val="16"/>
                <w:szCs w:val="16"/>
                <w:shd w:val="clear"/>
              </w:rPr>
              <w:t>p</w:t>
            </w:r>
            <w:r>
              <w:rPr>
                <w:sz w:val="16"/>
                <w:szCs w:val="16"/>
                <w:shd w:val="clear"/>
              </w:rPr>
              <w:fldChar w:fldCharType="end"/>
            </w:r>
            <w:r>
              <w:rPr>
                <w:sz w:val="16"/>
                <w:szCs w:val="16"/>
                <w:shd w:val="clear"/>
                <w:rFonts w:hint="eastAsia"/>
              </w:rPr>
              <w:t>)</w:t>
            </w:r>
          </w:p>
          <w:p>
            <w:pPr>
              <w:pStyle w:val="PO166"/>
              <w:jc w:val="center"/>
              <w:spacing w:before="0" w:beforeAutospacing="0" w:after="0" w:afterAutospacing="0"/>
              <w:rPr>
                <w:sz w:val="16"/>
                <w:szCs w:val="16"/>
                <w:shd w:val="clear"/>
              </w:rPr>
            </w:pPr>
          </w:p>
          <w:p>
            <w:pPr>
              <w:pStyle w:val="PO166"/>
              <w:spacing w:before="0" w:beforeAutospacing="0"/>
              <w:rPr>
                <w:sz w:val="22"/>
                <w:szCs w:val="22"/>
                <w:shd w:val="clear"/>
              </w:rPr>
            </w:pPr>
            <w:r>
              <w:rPr>
                <w:sz w:val="22"/>
                <w:szCs w:val="22"/>
                <w:shd w:val="clear"/>
                <w:rFonts w:hAnsi="Symbol"/>
              </w:rPr>
              <w:t></w:t>
            </w:r>
            <w:r>
              <w:rPr>
                <w:sz w:val="22"/>
                <w:szCs w:val="22"/>
                <w:shd w:val="clear"/>
              </w:rPr>
              <w:t xml:space="preserve"> </w:t>
            </w:r>
            <w:r>
              <w:rPr>
                <w:rStyle w:val="PO20"/>
                <w:sz w:val="22"/>
                <w:szCs w:val="22"/>
                <w:shd w:val="clear"/>
              </w:rPr>
              <w:t xml:space="preserve">여의도 증권가</w:t>
            </w:r>
            <w:r>
              <w:rPr>
                <w:rStyle w:val="PO20"/>
                <w:sz w:val="22"/>
                <w:szCs w:val="22"/>
                <w:shd w:val="clear"/>
                <w:rFonts w:hint="eastAsia"/>
              </w:rPr>
              <w:t>:</w:t>
            </w:r>
            <w:r>
              <w:rPr>
                <w:sz w:val="22"/>
                <w:szCs w:val="22"/>
                <w:shd w:val="clear"/>
              </w:rPr>
              <w:t xml:space="preserve"> 여의도는 한국의 금융 중심지로, 주요 증권사와 금융 기관들이 밀집해 </w:t>
            </w:r>
            <w:r>
              <w:rPr>
                <w:sz w:val="22"/>
                <w:szCs w:val="22"/>
                <w:shd w:val="clear"/>
              </w:rPr>
              <w:t xml:space="preserve">있습니다. 이 지역의 금융 기관들은 서로의 정보를 빠르게 교환하고, 다양한 금융 상품을 </w:t>
            </w:r>
            <w:r>
              <w:rPr>
                <w:sz w:val="22"/>
                <w:szCs w:val="22"/>
                <w:shd w:val="clear"/>
              </w:rPr>
              <w:t xml:space="preserve">공동 개발하며, 금융 시장의 변동에 신속하게 대응할 수 있는 능력을 갖추게 됩니다. </w:t>
            </w:r>
            <w:r>
              <w:rPr>
                <w:sz w:val="22"/>
                <w:szCs w:val="22"/>
                <w:shd w:val="clear"/>
              </w:rPr>
              <w:t xml:space="preserve">이러한 집적은 금융 서비스의 품질을 높이고, 금융 산업 전체의 성장을 촉진합니다. 여의도 </w:t>
            </w:r>
            <w:r>
              <w:rPr>
                <w:sz w:val="22"/>
                <w:szCs w:val="22"/>
                <w:shd w:val="clear"/>
              </w:rPr>
              <w:t xml:space="preserve">증권가의 성공 사례는 금융 업종에서의 집적지가 얼마나 중요한 역할을 하는지 보여줍니다</w:t>
            </w:r>
            <w:r>
              <w:rPr>
                <w:sz w:val="22"/>
                <w:szCs w:val="22"/>
                <w:shd w:val="clear"/>
                <w:rFonts w:ascii="Cambria Math" w:hAnsi="Cambria Math" w:cs="Cambria Math"/>
              </w:rPr>
              <w:t>​​</w:t>
            </w:r>
            <w:r>
              <w:rPr>
                <w:sz w:val="22"/>
                <w:szCs w:val="22"/>
                <w:shd w:val="clear"/>
              </w:rPr>
              <w:t>.</w:t>
            </w:r>
          </w:p>
          <w:p>
            <w:pPr>
              <w:pStyle w:val="PO8"/>
              <w:rPr>
                <w:shd w:val="clear"/>
                <w:rFonts w:hint="eastAsia"/>
                <w:lang w:eastAsia="ko-KR"/>
              </w:rPr>
            </w:pPr>
          </w:p>
          <w:p>
            <w:pPr>
              <w:pStyle w:val="PO8"/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관련 현황 및 문제점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산업 집적지의 성공적인 사례에도 불구하고, 공장 부지 선택 과정에서 여전히 많은 </w:t>
            </w:r>
            <w:r>
              <w:rPr>
                <w:shd w:val="clear"/>
              </w:rPr>
              <w:t xml:space="preserve">기업들이 어려움을 겪고 있습니다. 다음은 대표적인 문제점과 그에 따른 빅데이터 </w:t>
            </w:r>
            <w:r>
              <w:rPr>
                <w:shd w:val="clear"/>
              </w:rPr>
              <w:t xml:space="preserve">분석의 필요성입니다</w:t>
            </w:r>
          </w:p>
          <w:p>
            <w:pPr>
              <w:pStyle w:val="PO166"/>
              <w:numPr>
                <w:numId w:val="1"/>
                <w:ilvl w:val="0"/>
              </w:numPr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부지 선택의 복잡성</w:t>
            </w:r>
            <w:r>
              <w:rPr>
                <w:shd w:val="clear"/>
              </w:rPr>
              <w:t xml:space="preserve"> 공장 부지 선택은 부지의 물리적 조건, 인프라, 노동력, </w:t>
            </w:r>
            <w:r>
              <w:rPr>
                <w:shd w:val="clear"/>
              </w:rPr>
              <w:t xml:space="preserve">비용 등 다양한 요소를 고려해야 하는 복잡한 과정입니다. 이 과정에서 많은 </w:t>
            </w:r>
            <w:r>
              <w:rPr>
                <w:shd w:val="clear"/>
              </w:rPr>
              <w:t xml:space="preserve">기업들이 데이터 부족이나 분석 능력의 한계로 인해 최적의 부지를 선택하지 </w:t>
            </w:r>
            <w:r>
              <w:rPr>
                <w:shd w:val="clear"/>
              </w:rPr>
              <w:t xml:space="preserve">못하고 있습니다.</w:t>
            </w:r>
          </w:p>
          <w:p>
            <w:pPr>
              <w:pStyle w:val="PO166"/>
              <w:numPr>
                <w:numId w:val="1"/>
                <w:ilvl w:val="0"/>
              </w:numPr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시너지 효과의 극대화 부족</w:t>
            </w:r>
            <w:r>
              <w:rPr>
                <w:shd w:val="clear"/>
              </w:rPr>
              <w:t xml:space="preserve"> 비슷한 업종의 기업들이 모여 있는 집적지에서는 </w:t>
            </w:r>
            <w:r>
              <w:rPr>
                <w:shd w:val="clear"/>
              </w:rPr>
              <w:t xml:space="preserve">시너지 효과를 극대화할 수 있지만, 이를 위한 정확한 데이터와 분석이 </w:t>
            </w:r>
            <w:r>
              <w:rPr>
                <w:shd w:val="clear"/>
              </w:rPr>
              <w:t xml:space="preserve">부족한 경우 효과를 충분히 누리지 못할 수 있습니다. 기업들은 자신들에게 </w:t>
            </w:r>
            <w:r>
              <w:rPr>
                <w:shd w:val="clear"/>
              </w:rPr>
              <w:t xml:space="preserve">최적화된 집적지를 찾기 위해 신뢰할 수 있는 데이터와 분석이 필요합니다.</w:t>
            </w:r>
          </w:p>
          <w:p>
            <w:pPr>
              <w:pStyle w:val="PO166"/>
              <w:numPr>
                <w:numId w:val="1"/>
                <w:ilvl w:val="0"/>
              </w:numPr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빅데이터의 중요성 및 활용 빈도</w:t>
            </w:r>
            <w:r>
              <w:rPr>
                <w:shd w:val="clear"/>
              </w:rPr>
              <w:t xml:space="preserve"> 빅데이터 분석은 공장 부지 선택 과정에서 </w:t>
            </w:r>
            <w:r>
              <w:rPr>
                <w:shd w:val="clear"/>
              </w:rPr>
              <w:t xml:space="preserve">중요한 역할을 할 수 있습니다. 데이터 기반의 접근은 부지 선택의 복잡성을 </w:t>
            </w:r>
            <w:r>
              <w:rPr>
                <w:shd w:val="clear"/>
              </w:rPr>
              <w:t xml:space="preserve">줄이고, 시너지 효과를 극대화할 수 있는 최적의 지역을 추천하는 데 도움을 </w:t>
            </w:r>
            <w:r>
              <w:rPr>
                <w:shd w:val="clear"/>
              </w:rPr>
              <w:t xml:space="preserve">줍니다. 빅데이터 분석을 통해 기업들은 보다 정확한 의사 결정을 내릴 수 </w:t>
            </w:r>
            <w:r>
              <w:rPr>
                <w:shd w:val="clear"/>
              </w:rPr>
              <w:t xml:space="preserve">있으며, 이는 기업의 성공과 직결됩니다.</w:t>
            </w:r>
          </w:p>
          <w:p>
            <w:pPr>
              <w:pStyle w:val="PO8"/>
              <w:rPr>
                <w:shd w:val="clear"/>
              </w:rPr>
            </w:pPr>
            <w:r>
              <w:rPr>
                <w:shd w:val="clear"/>
              </w:rPr>
              <w:t xml:space="preserve">제안 모델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공장 부지 추천 모델은 이러한 문제점을 해결하기 위해 개발되었습니다. 이 모델은 </w:t>
            </w:r>
            <w:r>
              <w:rPr>
                <w:shd w:val="clear"/>
              </w:rPr>
              <w:t xml:space="preserve">다음과 같은 데이터를 활용하여 공장 부지 선택을 지원합니다:</w:t>
            </w:r>
          </w:p>
          <w:p>
            <w:pPr>
              <w:pStyle w:val="PO166"/>
              <w:numPr>
                <w:numId w:val="2"/>
                <w:ilvl w:val="0"/>
              </w:numPr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업종별 특성 분석</w:t>
            </w:r>
          </w:p>
          <w:p>
            <w:pPr>
              <w:numPr>
                <w:numId w:val="2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공장구분, 설립구분, 입주형태, 보유구분, 등록구분 등의 데이터를 통해 각 </w:t>
            </w:r>
            <w:r>
              <w:rPr>
                <w:shd w:val="clear"/>
              </w:rPr>
              <w:t xml:space="preserve">업종의 특성을 철저히 분석하여, 업종별로 최적의 입지 조건을 정의합니다.</w:t>
            </w:r>
          </w:p>
          <w:p>
            <w:pPr>
              <w:pStyle w:val="PO166"/>
              <w:numPr>
                <w:numId w:val="2"/>
                <w:ilvl w:val="0"/>
              </w:numPr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종업원 관련 데이터</w:t>
            </w:r>
          </w:p>
          <w:p>
            <w:pPr>
              <w:numPr>
                <w:numId w:val="2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남자종업원, 여자종업원, 외국인남자종업원, 외국인여자종업원, 종업원합계 </w:t>
            </w:r>
            <w:r>
              <w:rPr>
                <w:shd w:val="clear"/>
              </w:rPr>
              <w:t xml:space="preserve">등의 데이터를 분석하여 노동력의 구성과 가용성을 평가합니다.</w:t>
            </w:r>
          </w:p>
          <w:p>
            <w:pPr>
              <w:pStyle w:val="PO166"/>
              <w:numPr>
                <w:numId w:val="2"/>
                <w:ilvl w:val="0"/>
              </w:numPr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공장 규모 및 시설 데이터</w:t>
            </w:r>
          </w:p>
          <w:p>
            <w:pPr>
              <w:numPr>
                <w:numId w:val="2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공장규모, 용도지역, 지목, 용지면적, 제조시설면적, 부대시설면적, 건축면적 </w:t>
            </w:r>
            <w:r>
              <w:rPr>
                <w:shd w:val="clear"/>
              </w:rPr>
              <w:t xml:space="preserve">등의 데이터를 통해 부지의 물리적 조건과 적합성을 평가합니다.</w:t>
            </w:r>
          </w:p>
          <w:p>
            <w:pPr>
              <w:pStyle w:val="PO166"/>
              <w:numPr>
                <w:numId w:val="2"/>
                <w:ilvl w:val="0"/>
              </w:numPr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지식산업센터 및 대표업종 데이터</w:t>
            </w:r>
          </w:p>
          <w:p>
            <w:pPr>
              <w:numPr>
                <w:numId w:val="2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지식산업센터명, 대표업종 등의 데이터를 통해 특정 업종이 밀집된 지역을 </w:t>
            </w:r>
            <w:r>
              <w:rPr>
                <w:shd w:val="clear"/>
              </w:rPr>
              <w:t xml:space="preserve">분석하고, 해당 업종에 최적화된 지역을 추천합니다.</w:t>
            </w:r>
          </w:p>
          <w:p>
            <w:pPr>
              <w:pStyle w:val="PO8"/>
              <w:rPr>
                <w:shd w:val="clear"/>
              </w:rPr>
            </w:pPr>
            <w:r>
              <w:rPr>
                <w:shd w:val="clear"/>
              </w:rPr>
              <w:t>결론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공장 부지 선택은 기업의 성공과 실패를 좌우할 수 있는 중요한 요소입니다. 한국의 </w:t>
            </w:r>
            <w:r>
              <w:rPr>
                <w:shd w:val="clear"/>
              </w:rPr>
              <w:t>창원</w:t>
            </w:r>
            <w:r>
              <w:rPr>
                <w:shd w:val="clear"/>
                <w:rFonts w:hint="eastAsia"/>
              </w:rPr>
              <w:t xml:space="preserve"> 국가 </w:t>
            </w:r>
            <w:r>
              <w:rPr>
                <w:shd w:val="clear"/>
              </w:rPr>
              <w:t xml:space="preserve">산업단지, 홍릉 바이오 클러스터, 여의도 증권가와 같은 성공적인 </w:t>
            </w:r>
            <w:r>
              <w:rPr>
                <w:shd w:val="clear"/>
              </w:rPr>
              <w:t xml:space="preserve">사례들은 집적지의 중요성을 잘 보여줍니다. 이러한 집적지는 기업들이 상호 협력과 </w:t>
            </w:r>
            <w:r>
              <w:rPr>
                <w:shd w:val="clear"/>
              </w:rPr>
              <w:t xml:space="preserve">경쟁을 통해 기술 혁신과 생산성 향상을 이루어낼 수 있는 최적의 환경을 </w:t>
            </w:r>
            <w:r>
              <w:rPr>
                <w:shd w:val="clear"/>
              </w:rPr>
              <w:t>제공합니다.</w:t>
            </w:r>
          </w:p>
          <w:p>
            <w:pPr>
              <w:pStyle w:val="PO166"/>
              <w:rPr>
                <w:sz w:val="24"/>
                <w:szCs w:val="24"/>
                <w:shd w:val="clear"/>
                <w:rFonts w:ascii="굴림" w:eastAsia="굴림" w:hAnsi="굴림" w:cs="굴림"/>
              </w:rPr>
            </w:pPr>
            <w:r>
              <w:rPr>
                <w:shd w:val="clear"/>
              </w:rPr>
              <w:t xml:space="preserve">공장 부지 추천 모델은 이러한 성공 사례를 바탕으로 개발되었습니다. 이 모델은 </w:t>
            </w:r>
            <w:r>
              <w:rPr>
                <w:shd w:val="clear"/>
              </w:rPr>
              <w:t xml:space="preserve">다양한 데이터를 분석하여 업종별 특성과 필요 요건을 평가하고, 최적의 부지를 </w:t>
            </w:r>
            <w:r>
              <w:rPr>
                <w:shd w:val="clear"/>
              </w:rPr>
              <w:t xml:space="preserve">추천함으로써 기업들이 최대의 시너지 효과를 누릴 수 있도록 돕습니다. 이를 통해 </w:t>
            </w:r>
            <w:r>
              <w:rPr>
                <w:shd w:val="clear"/>
              </w:rPr>
              <w:t xml:space="preserve">기업은 경쟁력을 강화하고, 생산성을 높이며, 장기적인 성공을 이룰 수 있을 </w:t>
            </w:r>
            <w:r>
              <w:rPr>
                <w:shd w:val="clear"/>
              </w:rPr>
              <w:t>것입니다.</w:t>
            </w:r>
          </w:p>
        </w:tc>
      </w:tr>
    </w:tbl>
    <w:p>
      <w:pPr>
        <w:jc w:val="both"/>
        <w:spacing w:lineRule="auto" w:line="348" w:after="0"/>
        <w:rPr>
          <w:shd w:val="clear"/>
        </w:rPr>
        <w:wordWrap w:val="1"/>
        <w:widowControl w:val="1"/>
        <w:autoSpaceDE w:val="1"/>
        <w:autoSpaceDN w:val="1"/>
      </w:pPr>
    </w:p>
    <w:p>
      <w:pPr>
        <w:jc w:val="both"/>
        <w:spacing w:lineRule="auto" w:line="348" w:after="0"/>
        <w:rPr>
          <w:sz w:val="24"/>
          <w:szCs w:val="24"/>
          <w:shd w:val="clear"/>
          <w:rFonts w:ascii="굴림" w:eastAsia="굴림" w:hAnsi="굴림" w:cs="굴림"/>
        </w:rPr>
        <w:wordWrap w:val="1"/>
        <w:widowControl w:val="1"/>
        <w:autoSpaceDE w:val="1"/>
        <w:autoSpaceDN w:val="1"/>
      </w:pPr>
      <w:r>
        <w:rPr>
          <w:b w:val="1"/>
          <w:color w:val="000000"/>
          <w:sz w:val="32"/>
          <w:szCs w:val="32"/>
          <w:shd w:val="clear"/>
          <w:rFonts w:ascii="바탕" w:eastAsia="바탕" w:hAnsi="바탕" w:cs="바탕" w:hint="eastAsia"/>
        </w:rPr>
        <w:t>󰊳</w:t>
      </w:r>
      <w:r>
        <w:rPr>
          <w:b w:val="1"/>
          <w:color w:val="000000"/>
          <w:sz w:val="32"/>
          <w:szCs w:val="32"/>
          <w:shd w:val="clear"/>
          <w:rFonts w:ascii="휴먼명조" w:eastAsia="휴먼명조" w:hAnsi="굴림" w:cs="굴림" w:hint="eastAsia"/>
        </w:rPr>
        <w:t> </w:t>
      </w:r>
      <w:r>
        <w:rPr>
          <w:b w:val="1"/>
          <w:color w:val="000000"/>
          <w:sz w:val="32"/>
          <w:szCs w:val="32"/>
          <w:shd w:val="clear"/>
          <w:rFonts w:ascii="HCI Poppy" w:eastAsia="굴림" w:hAnsi="HCI Poppy" w:cs="굴림"/>
        </w:rPr>
        <w:t xml:space="preserve">분석 내용 및 분석 결과</w:t>
      </w:r>
    </w:p>
    <w:tbl>
      <w:tblID w:val="0"/>
      <w:tblPr>
        <w:tblCellMar>
          <w:left w:w="84" w:type="dxa"/>
          <w:top w:w="84" w:type="dxa"/>
          <w:right w:w="84" w:type="dxa"/>
          <w:bottom w:w="84" w:type="dxa"/>
        </w:tblCellMar>
        <w:tblW w:w="10132" w:type="dxa"/>
        <w:tblInd w:w="57" w:type="dxa"/>
        <w:tblLook w:val="0004A0" w:firstRow="1" w:lastRow="0" w:firstColumn="1" w:lastColumn="0" w:noHBand="0" w:noVBand="1"/>
        <w:tblLayout w:type="fixed"/>
      </w:tblPr>
      <w:tblGrid>
        <w:gridCol w:w="10132"/>
      </w:tblGrid>
      <w:tr>
        <w:trPr/>
        <w:tc>
          <w:tcPr>
            <w:tcW w:type="dxa" w:w="1013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7"/>
              <w:rPr>
                <w:shd w:val="clear"/>
              </w:rPr>
            </w:pPr>
            <w:r>
              <w:rPr>
                <w:color w:val="000000"/>
                <w:sz w:val="26"/>
                <w:szCs w:val="26"/>
                <w:shd w:val="clear"/>
                <w:rFonts w:ascii="휴먼명조" w:eastAsia="휴먼명조" w:hAnsi="굴림" w:cs="굴림" w:hint="eastAsia"/>
              </w:rPr>
              <w:t> </w:t>
            </w:r>
            <w:r>
              <w:rPr>
                <w:shd w:val="clear"/>
                <w:rFonts w:hint="eastAsia"/>
              </w:rPr>
              <w:t xml:space="preserve">모델 데</w:t>
            </w:r>
            <w:r>
              <w:rPr>
                <w:shd w:val="clear"/>
              </w:rPr>
              <w:t xml:space="preserve">이터셋 개요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사용 데이터: 한국산업단지공단_공장등록 현황 통계정보(24-06-03)</w:t>
            </w:r>
          </w:p>
          <w:p>
            <w:pPr>
              <w:pStyle w:val="PO166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  <w:rFonts w:hint="eastAsia"/>
              </w:rPr>
              <w:t>(</w:t>
            </w:r>
            <w:r>
              <w:rPr>
                <w:sz w:val="16"/>
                <w:szCs w:val="16"/>
                <w:shd w:val="clear"/>
              </w:rPr>
              <w:t>https://www.data.go.kr/data/3041646/fileData.do</w:t>
            </w:r>
            <w:r>
              <w:rPr>
                <w:sz w:val="16"/>
                <w:szCs w:val="16"/>
                <w:shd w:val="clear"/>
                <w:rFonts w:hint="eastAsia"/>
              </w:rPr>
              <w:t>)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이 데이터셋은 공공데이터포탈의 한국산업단지공단_공장등록 현황 통계정보의 데이터를 </w:t>
            </w:r>
            <w:r>
              <w:rPr>
                <w:shd w:val="clear"/>
              </w:rPr>
              <w:t xml:space="preserve">사용하였으며, 공장의 위치, 대표업종, 직원 수, 생산품, 시설 면적 등의 데이터를 </w:t>
            </w:r>
            <w:r>
              <w:rPr>
                <w:shd w:val="clear"/>
              </w:rPr>
              <w:t xml:space="preserve">포함합니다. 본 프로젝트에서는 공장 부지 추천 모델을 개발하기 위해 데이터셋의 일부 </w:t>
            </w:r>
            <w:r>
              <w:rPr>
                <w:shd w:val="clear"/>
              </w:rPr>
              <w:t xml:space="preserve">변수를 사용하였습니다.</w:t>
            </w:r>
          </w:p>
          <w:p>
            <w:pPr>
              <w:pStyle w:val="PO10"/>
              <w:rPr>
                <w:b w:val="1"/>
                <w:shd w:val="clear"/>
              </w:rPr>
            </w:pPr>
            <w:r>
              <w:rPr>
                <w:b w:val="1"/>
                <w:shd w:val="clear"/>
              </w:rPr>
              <w:t xml:space="preserve">사용된 변수 설명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모델 학습에 사용된 주요 변수들은 다음과 같습니다:</w:t>
            </w:r>
          </w:p>
          <w:p>
            <w:pPr>
              <w:numPr>
                <w:numId w:val="3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공장구분: 공장의 구분 (개별, 계획)</w:t>
            </w:r>
          </w:p>
          <w:p>
            <w:pPr>
              <w:numPr>
                <w:numId w:val="3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설립구분: 공장의 설립 구분 (일반, 국가산업단지 등)</w:t>
            </w:r>
          </w:p>
          <w:p>
            <w:pPr>
              <w:numPr>
                <w:numId w:val="3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입주형태: 공장의 입주 형태 (일반, 경매 등)</w:t>
            </w:r>
          </w:p>
          <w:p>
            <w:pPr>
              <w:numPr>
                <w:numId w:val="3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보유구분: 공장 부지의 보유 구분 (임대, 자가)</w:t>
            </w:r>
          </w:p>
          <w:p>
            <w:pPr>
              <w:numPr>
                <w:numId w:val="3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등록구분: 공장의 등록 구분 (신규, 등록, 부분, 완료)</w:t>
            </w:r>
          </w:p>
          <w:p>
            <w:pPr>
              <w:numPr>
                <w:numId w:val="3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>남자종업원</w:t>
            </w:r>
          </w:p>
          <w:p>
            <w:pPr>
              <w:numPr>
                <w:numId w:val="3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>여자종업원</w:t>
            </w:r>
          </w:p>
          <w:p>
            <w:pPr>
              <w:numPr>
                <w:numId w:val="3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외국인 남자종업원</w:t>
            </w:r>
          </w:p>
          <w:p>
            <w:pPr>
              <w:numPr>
                <w:numId w:val="3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외국인 여자종업원</w:t>
            </w:r>
          </w:p>
          <w:p>
            <w:pPr>
              <w:numPr>
                <w:numId w:val="3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종업원 합계</w:t>
            </w:r>
          </w:p>
          <w:p>
            <w:pPr>
              <w:numPr>
                <w:numId w:val="3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>공장규모</w:t>
            </w:r>
            <w:r>
              <w:rPr>
                <w:shd w:val="clear"/>
                <w:rFonts w:hint="eastAsia"/>
              </w:rPr>
              <w:t xml:space="preserve">: 소기업, 중기업, 대기업</w:t>
            </w:r>
          </w:p>
          <w:p>
            <w:pPr>
              <w:numPr>
                <w:numId w:val="3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용도지역: 공장이 위치한 용도 지역</w:t>
            </w:r>
          </w:p>
          <w:p>
            <w:pPr>
              <w:numPr>
                <w:numId w:val="3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>지목</w:t>
            </w:r>
          </w:p>
          <w:p>
            <w:pPr>
              <w:numPr>
                <w:numId w:val="3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용지면적: 공장 부지의 면적</w:t>
            </w:r>
          </w:p>
          <w:p>
            <w:pPr>
              <w:numPr>
                <w:numId w:val="3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제조시설면적: 제조 시설의 면적</w:t>
            </w:r>
          </w:p>
          <w:p>
            <w:pPr>
              <w:numPr>
                <w:numId w:val="3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부대시설면적: 부대 시설의 면적</w:t>
            </w:r>
          </w:p>
          <w:p>
            <w:pPr>
              <w:numPr>
                <w:numId w:val="3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>건축면적</w:t>
            </w:r>
          </w:p>
          <w:p>
            <w:pPr>
              <w:numPr>
                <w:numId w:val="3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지식산업센터명: 공장이 위치한 지식산업센터의 이름</w:t>
            </w:r>
          </w:p>
          <w:p>
            <w:pPr>
              <w:numPr>
                <w:numId w:val="3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대표업종: 공장의 대표 업종</w:t>
            </w:r>
          </w:p>
          <w:p>
            <w:pPr>
              <w:numPr>
                <w:numId w:val="3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>공장주소</w:t>
            </w:r>
            <w:r>
              <w:rPr>
                <w:shd w:val="clear"/>
                <w:rFonts w:hint="eastAsia"/>
              </w:rPr>
              <w:t>(구/동/읍/면)</w:t>
            </w:r>
            <w:r>
              <w:rPr>
                <w:shd w:val="clear"/>
              </w:rPr>
              <w:t xml:space="preserve"> (Target 데이터)</w:t>
            </w:r>
          </w:p>
          <w:p>
            <w:pPr>
              <w:pStyle w:val="PO9"/>
              <w:rPr>
                <w:b w:val="1"/>
                <w:shd w:val="clear"/>
              </w:rPr>
            </w:pPr>
            <w:r>
              <w:rPr>
                <w:b w:val="1"/>
                <w:shd w:val="clear"/>
              </w:rPr>
              <w:t xml:space="preserve">데이터 분석 절차</w:t>
            </w:r>
          </w:p>
          <w:p>
            <w:pPr>
              <w:pStyle w:val="PO166"/>
              <w:numPr>
                <w:numId w:val="4"/>
                <w:ilvl w:val="0"/>
              </w:numPr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데이터 전처리</w:t>
            </w:r>
          </w:p>
          <w:p>
            <w:pPr>
              <w:numPr>
                <w:numId w:val="4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전체 데이터 소개</w:t>
            </w:r>
            <w:r>
              <w:rPr>
                <w:shd w:val="clear"/>
              </w:rPr>
              <w:t xml:space="preserve">: 시도명, 시군구명, 관리기관, 회사명, 공장구분, 단지명, 설립구분, </w:t>
            </w:r>
            <w:r>
              <w:rPr>
                <w:shd w:val="clear"/>
              </w:rPr>
              <w:t xml:space="preserve">입주형태, 보유구분, 등록구분, 전화번호, 남자종업원, 여자종업원, 외국인남자종업원, </w:t>
            </w:r>
            <w:r>
              <w:rPr>
                <w:shd w:val="clear"/>
              </w:rPr>
              <w:t xml:space="preserve">외국인여자종업원, 종업원합계, 생산품, 원자재, 공장규모, 용도지역, 지목, 용지면적, </w:t>
            </w:r>
            <w:r>
              <w:rPr>
                <w:shd w:val="clear"/>
              </w:rPr>
              <w:t xml:space="preserve">제조시설면적, 부대시설면적, 건축면적, 지식산업센터명, 대표업종, 업종명, 업종코드, </w:t>
            </w:r>
            <w:r>
              <w:rPr>
                <w:shd w:val="clear"/>
              </w:rPr>
              <w:t xml:space="preserve">차수, 법인주소, 필지수, 공장주소, 공장주소_지번, 공장관리번호</w:t>
            </w:r>
          </w:p>
          <w:p>
            <w:pPr>
              <w:numPr>
                <w:numId w:val="4"/>
                <w:ilvl w:val="1"/>
              </w:numPr>
              <w:spacing w:lineRule="auto" w:line="275"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데이터 삭제</w:t>
            </w:r>
            <w:r>
              <w:rPr>
                <w:shd w:val="clear"/>
              </w:rPr>
              <w:t xml:space="preserve">: 분석에 필요하지 않은 다음 데이터를 삭제하였습니다: 시도명, </w:t>
            </w:r>
            <w:r>
              <w:rPr>
                <w:shd w:val="clear"/>
              </w:rPr>
              <w:t xml:space="preserve">시군구명, 관리기관, 회사명, 단지명, 전화번호, 법인주소, 필지수, 공장주소, </w:t>
            </w:r>
            <w:r>
              <w:rPr>
                <w:shd w:val="clear"/>
              </w:rPr>
              <w:t xml:space="preserve">공장관리번호, 생산품, 원자재, 업종명, 업종코드, 차수.</w:t>
            </w:r>
          </w:p>
          <w:p>
            <w:pPr>
              <w:pStyle w:val="PO166"/>
              <w:numPr>
                <w:numId w:val="4"/>
                <w:ilvl w:val="0"/>
              </w:numPr>
              <w:spacing w:lineRule="auto" w:line="275"/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기본 모델 선정</w:t>
            </w:r>
            <w:r>
              <w:rPr>
                <w:rStyle w:val="PO20"/>
                <w:shd w:val="clear"/>
                <w:rFonts w:hint="eastAsia"/>
              </w:rPr>
              <w:t>:</w:t>
            </w:r>
            <w:r>
              <w:rPr>
                <w:shd w:val="clear"/>
              </w:rPr>
              <w:t xml:space="preserve"> 위에서 설정한 삭제할 칼럼을 제외한 후 최적의 모델을 찾기 위해 </w:t>
            </w:r>
            <w:r>
              <w:rPr>
                <w:shd w:val="clear"/>
              </w:rPr>
              <w:t xml:space="preserve">XGBoost, LightGBM, CatBoost, KNN 모델들을 </w:t>
            </w:r>
            <w:r>
              <w:rPr>
                <w:shd w:val="clear"/>
                <w:rFonts w:hint="eastAsia"/>
              </w:rPr>
              <w:t xml:space="preserve">활용하여 정확도가 가장 높은 모델 </w:t>
            </w:r>
            <w:r>
              <w:rPr>
                <w:shd w:val="clear"/>
                <w:rFonts w:hint="eastAsia"/>
              </w:rPr>
              <w:t xml:space="preserve">2개를 선정합니다.</w:t>
            </w:r>
          </w:p>
          <w:p>
            <w:pPr>
              <w:pStyle w:val="PO166"/>
              <w:spacing w:lineRule="auto" w:line="275"/>
              <w:ind w:left="440" w:firstLine="0" w:leftChars="200"/>
              <w:rPr>
                <w:rStyle w:val="PO20"/>
                <w:b w:val="0"/>
                <w:shd w:val="clear"/>
              </w:rPr>
            </w:pPr>
            <w:r>
              <w:rPr>
                <w:rStyle w:val="PO20"/>
                <w:b w:val="0"/>
                <w:shd w:val="clear"/>
                <w:rFonts w:hint="eastAsia"/>
              </w:rPr>
              <w:t xml:space="preserve">모델 설명 및 장단점</w:t>
            </w:r>
          </w:p>
          <w:p>
            <w:pPr>
              <w:pStyle w:val="PO26"/>
              <w:numPr>
                <w:numId w:val="6"/>
                <w:ilvl w:val="0"/>
              </w:numPr>
              <w:jc w:val="both"/>
              <w:spacing w:lineRule="auto" w:line="335" w:after="0"/>
              <w:ind w:left="800" w:firstLine="0" w:leftChars="200"/>
              <w:rPr>
                <w:color w:val="000000" w:themeColor="text1"/>
                <w:shd w:val="clear"/>
                <w:rFonts w:asciiTheme="majorHAnsi" w:eastAsiaTheme="majorHAnsi" w:hAnsiTheme="majorHAnsi" w:cstheme="majorBidi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XGBoost (Extreme Gradient Boosting)</w:t>
            </w:r>
            <w:r>
              <w:rPr>
                <w:shd w:val="clear"/>
                <w:rFonts w:hint="eastAsia"/>
              </w:rPr>
              <w:t xml:space="preserve">: </w:t>
            </w:r>
            <w:r>
              <w:rPr>
                <w:shd w:val="clear"/>
              </w:rPr>
              <w:t xml:space="preserve">XGBoost는 Gradient Boosting 알고리즘을 기반으로 </w:t>
            </w:r>
            <w:r>
              <w:rPr>
                <w:shd w:val="clear"/>
              </w:rPr>
              <w:t xml:space="preserve">하는 강력한 머신 러닝 알고리즘 Gradient Boosting은 여러 개의 약한 학습자를 결합하여 </w:t>
            </w:r>
            <w:r>
              <w:rPr>
                <w:shd w:val="clear"/>
              </w:rPr>
              <w:t xml:space="preserve">강력한 예측 모델을 만드는 앙상블 기법</w:t>
            </w:r>
          </w:p>
          <w:p>
            <w:pPr>
              <w:pStyle w:val="PO9"/>
              <w:numPr>
                <w:numId w:val="8"/>
                <w:ilvl w:val="0"/>
              </w:numPr>
              <w:ind w:left="1320" w:firstLine="0" w:leftChars="400"/>
              <w:rPr>
                <w:shd w:val="clear"/>
              </w:rPr>
            </w:pPr>
            <w:r>
              <w:rPr>
                <w:shd w:val="clear"/>
              </w:rPr>
              <w:t>장점</w:t>
            </w:r>
          </w:p>
          <w:p>
            <w:pPr>
              <w:pStyle w:val="PO26"/>
              <w:numPr>
                <w:numId w:val="7"/>
                <w:ilvl w:val="0"/>
              </w:numPr>
              <w:spacing w:before="100" w:beforeAutospacing="1" w:after="100" w:afterAutospacing="1"/>
              <w:ind w:left="1240" w:firstLine="0" w:leftChars="400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높은 예측 성능</w:t>
            </w:r>
            <w:r>
              <w:rPr>
                <w:shd w:val="clear"/>
              </w:rPr>
              <w:t xml:space="preserve">: 대부분의 데이터셋에서 뛰어난 성능을 보임.</w:t>
            </w:r>
          </w:p>
          <w:p>
            <w:pPr>
              <w:pStyle w:val="PO26"/>
              <w:numPr>
                <w:numId w:val="7"/>
                <w:ilvl w:val="0"/>
              </w:numPr>
              <w:spacing w:before="100" w:beforeAutospacing="1" w:after="100" w:afterAutospacing="1"/>
              <w:ind w:left="1240" w:firstLine="0" w:leftChars="400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효율성</w:t>
            </w:r>
            <w:r>
              <w:rPr>
                <w:shd w:val="clear"/>
              </w:rPr>
              <w:t xml:space="preserve">: 병렬 처리 및 분산 컴퓨팅을 지원하여 학습 속도가 빠름.</w:t>
            </w:r>
          </w:p>
          <w:p>
            <w:pPr>
              <w:pStyle w:val="PO26"/>
              <w:numPr>
                <w:numId w:val="7"/>
                <w:ilvl w:val="0"/>
              </w:numPr>
              <w:spacing w:before="100" w:beforeAutospacing="1" w:after="100" w:afterAutospacing="1"/>
              <w:ind w:left="1240" w:firstLine="0" w:leftChars="400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유연성</w:t>
            </w:r>
            <w:r>
              <w:rPr>
                <w:shd w:val="clear"/>
              </w:rPr>
              <w:t xml:space="preserve">: 다양한 커스터마이징 옵션과 매개변수 조정 가능.</w:t>
            </w:r>
          </w:p>
          <w:p>
            <w:pPr>
              <w:pStyle w:val="PO9"/>
              <w:numPr>
                <w:numId w:val="8"/>
                <w:ilvl w:val="0"/>
              </w:numPr>
              <w:ind w:left="1320" w:firstLine="0" w:leftChars="400"/>
              <w:rPr>
                <w:shd w:val="clear"/>
              </w:rPr>
            </w:pPr>
            <w:r>
              <w:rPr>
                <w:shd w:val="clear"/>
              </w:rPr>
              <w:t>단점</w:t>
            </w:r>
          </w:p>
          <w:p>
            <w:pPr>
              <w:pStyle w:val="PO26"/>
              <w:numPr>
                <w:numId w:val="7"/>
                <w:ilvl w:val="0"/>
              </w:numPr>
              <w:spacing w:before="100" w:beforeAutospacing="1" w:after="100" w:afterAutospacing="1"/>
              <w:ind w:left="1240" w:firstLine="0" w:leftChars="400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복잡성</w:t>
            </w:r>
            <w:r>
              <w:rPr>
                <w:shd w:val="clear"/>
              </w:rPr>
              <w:t xml:space="preserve">: 많은 하이퍼파라미터가 있어 최적의 모델을 찾기 어려울 수 있음.</w:t>
            </w:r>
          </w:p>
          <w:p>
            <w:pPr>
              <w:pStyle w:val="PO26"/>
              <w:numPr>
                <w:numId w:val="7"/>
                <w:ilvl w:val="0"/>
              </w:numPr>
              <w:spacing w:lineRule="auto" w:line="360" w:before="100" w:beforeAutospacing="1" w:after="100" w:afterAutospacing="1"/>
              <w:ind w:left="1240" w:firstLine="0" w:leftChars="400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메모리 사용량</w:t>
            </w:r>
            <w:r>
              <w:rPr>
                <w:shd w:val="clear"/>
              </w:rPr>
              <w:t xml:space="preserve">: 대규모 데이터셋에서는 메모리 사용량이 많아질 수 있음.</w:t>
            </w:r>
          </w:p>
          <w:p>
            <w:pPr>
              <w:pStyle w:val="PO26"/>
              <w:numPr>
                <w:numId w:val="6"/>
                <w:ilvl w:val="0"/>
              </w:numPr>
              <w:jc w:val="both"/>
              <w:spacing w:lineRule="auto" w:line="335" w:after="0"/>
              <w:ind w:left="978" w:hanging="538" w:leftChars="200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LightGBM (Light Gradient Boosting Machine)</w:t>
            </w:r>
            <w:r>
              <w:rPr>
                <w:shd w:val="clear"/>
                <w:rFonts w:hint="eastAsia"/>
              </w:rPr>
              <w:t xml:space="preserve">: </w:t>
            </w:r>
            <w:r>
              <w:rPr>
                <w:shd w:val="clear"/>
              </w:rPr>
              <w:t xml:space="preserve">LightGBM은 Microsoft에서 개발한 </w:t>
            </w:r>
            <w:r>
              <w:rPr>
                <w:shd w:val="clear"/>
              </w:rPr>
              <w:t xml:space="preserve">Gradient Boosting 알고리</w:t>
            </w:r>
            <w:r>
              <w:rPr>
                <w:shd w:val="clear"/>
                <w:rFonts w:hint="eastAsia"/>
              </w:rPr>
              <w:t>즘.</w:t>
            </w:r>
            <w:r>
              <w:rPr>
                <w:shd w:val="clear"/>
              </w:rPr>
              <w:t xml:space="preserve"> LightGBM은 대용량 데이터셋을 효율적으로 처리할 수 </w:t>
            </w:r>
            <w:r>
              <w:rPr>
                <w:shd w:val="clear"/>
              </w:rPr>
              <w:t xml:space="preserve">있도록 설계되었으며, 학습 속도와 메모리 사용 효율성이 뛰어</w:t>
            </w:r>
            <w:r>
              <w:rPr>
                <w:shd w:val="clear"/>
                <w:rFonts w:hint="eastAsia"/>
              </w:rPr>
              <w:t>남.</w:t>
            </w:r>
          </w:p>
          <w:p>
            <w:pPr>
              <w:pStyle w:val="PO9"/>
              <w:numPr>
                <w:numId w:val="8"/>
                <w:ilvl w:val="0"/>
              </w:numPr>
              <w:ind w:left="1320" w:firstLine="0" w:leftChars="400"/>
              <w:rPr>
                <w:shd w:val="clear"/>
              </w:rPr>
            </w:pPr>
            <w:r>
              <w:rPr>
                <w:shd w:val="clear"/>
              </w:rPr>
              <w:t>장점</w:t>
            </w:r>
          </w:p>
          <w:p>
            <w:pPr>
              <w:pStyle w:val="PO26"/>
              <w:numPr>
                <w:numId w:val="7"/>
                <w:ilvl w:val="0"/>
              </w:numPr>
              <w:spacing w:before="100" w:beforeAutospacing="1" w:after="100" w:afterAutospacing="1"/>
              <w:ind w:left="1240" w:firstLine="0" w:leftChars="400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빠른 학습 속도</w:t>
            </w:r>
            <w:r>
              <w:rPr>
                <w:shd w:val="clear"/>
              </w:rPr>
              <w:t xml:space="preserve">: Histogram-based 알고리즘을 사용하여 학습 속도가 매우 빠름.</w:t>
            </w:r>
          </w:p>
          <w:p>
            <w:pPr>
              <w:pStyle w:val="PO26"/>
              <w:numPr>
                <w:numId w:val="7"/>
                <w:ilvl w:val="0"/>
              </w:numPr>
              <w:spacing w:before="100" w:beforeAutospacing="1" w:after="100" w:afterAutospacing="1"/>
              <w:ind w:left="1240" w:firstLine="0" w:leftChars="400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메모리 효율성</w:t>
            </w:r>
            <w:r>
              <w:rPr>
                <w:shd w:val="clear"/>
              </w:rPr>
              <w:t xml:space="preserve">: 메모리 사용량이 적음.</w:t>
            </w:r>
          </w:p>
          <w:p>
            <w:pPr>
              <w:pStyle w:val="PO26"/>
              <w:numPr>
                <w:numId w:val="7"/>
                <w:ilvl w:val="0"/>
              </w:numPr>
              <w:spacing w:before="100" w:beforeAutospacing="1" w:after="100" w:afterAutospacing="1"/>
              <w:ind w:left="1240" w:firstLine="0" w:leftChars="400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고성능</w:t>
            </w:r>
            <w:r>
              <w:rPr>
                <w:shd w:val="clear"/>
              </w:rPr>
              <w:t xml:space="preserve">: 높은 예측 성능을 보임.</w:t>
            </w:r>
          </w:p>
          <w:p>
            <w:pPr>
              <w:pStyle w:val="PO9"/>
              <w:numPr>
                <w:numId w:val="8"/>
                <w:ilvl w:val="0"/>
              </w:numPr>
              <w:ind w:left="1320" w:firstLine="0" w:leftChars="400"/>
              <w:rPr>
                <w:shd w:val="clear"/>
              </w:rPr>
            </w:pPr>
            <w:r>
              <w:rPr>
                <w:shd w:val="clear"/>
              </w:rPr>
              <w:t>단점</w:t>
            </w:r>
          </w:p>
          <w:p>
            <w:pPr>
              <w:pStyle w:val="PO26"/>
              <w:numPr>
                <w:numId w:val="7"/>
                <w:ilvl w:val="0"/>
              </w:numPr>
              <w:spacing w:before="100" w:beforeAutospacing="1" w:after="100" w:afterAutospacing="1"/>
              <w:ind w:left="1240" w:firstLine="0" w:leftChars="400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복잡성</w:t>
            </w:r>
            <w:r>
              <w:rPr>
                <w:shd w:val="clear"/>
              </w:rPr>
              <w:t xml:space="preserve">: 많은 하이퍼파라미터가 있어 최적화가 어려울 수 있음.</w:t>
            </w:r>
          </w:p>
          <w:p>
            <w:pPr>
              <w:pStyle w:val="PO26"/>
              <w:numPr>
                <w:numId w:val="7"/>
                <w:ilvl w:val="0"/>
              </w:numPr>
              <w:spacing w:lineRule="auto" w:line="360" w:before="100" w:beforeAutospacing="1" w:after="100" w:afterAutospacing="1"/>
              <w:ind w:left="1240" w:firstLine="0" w:leftChars="400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균형 잡힌 데이터셋 필요</w:t>
            </w:r>
            <w:r>
              <w:rPr>
                <w:shd w:val="clear"/>
              </w:rPr>
              <w:t xml:space="preserve">: 데이터가 균형 잡혀 있지 않으면 성능이 저하될 수 있음.</w:t>
            </w:r>
          </w:p>
          <w:p>
            <w:pPr>
              <w:pStyle w:val="PO26"/>
              <w:numPr>
                <w:numId w:val="6"/>
                <w:ilvl w:val="0"/>
              </w:numPr>
              <w:jc w:val="both"/>
              <w:spacing w:lineRule="auto" w:line="335" w:after="0"/>
              <w:ind w:left="978" w:hanging="538" w:leftChars="200"/>
              <w:rPr>
                <w:color w:val="000000" w:themeColor="text1"/>
                <w:shd w:val="clear"/>
                <w:rFonts w:asciiTheme="majorHAnsi" w:eastAsiaTheme="majorHAnsi" w:hAnsiTheme="majorHAnsi" w:cstheme="majorBidi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>CatBoost</w:t>
            </w:r>
            <w:r>
              <w:rPr>
                <w:shd w:val="clear"/>
                <w:rFonts w:hint="eastAsia"/>
              </w:rPr>
              <w:t xml:space="preserve">: </w:t>
            </w:r>
            <w:r>
              <w:rPr>
                <w:shd w:val="clear"/>
              </w:rPr>
              <w:t xml:space="preserve">CatBoost는 Yandex에서 개발한 Gradient Boosting 알고리즘</w:t>
            </w:r>
            <w:r>
              <w:rPr>
                <w:shd w:val="clear"/>
                <w:rFonts w:hint="eastAsia"/>
              </w:rPr>
              <w:t>.</w:t>
            </w:r>
            <w:r>
              <w:rPr>
                <w:shd w:val="clear"/>
              </w:rPr>
              <w:t xml:space="preserve"> 특히 범주형 </w:t>
            </w:r>
            <w:r>
              <w:rPr>
                <w:shd w:val="clear"/>
              </w:rPr>
              <w:t xml:space="preserve">데이터 처리를 최적화하여 높은 성능을 </w:t>
            </w:r>
            <w:r>
              <w:rPr>
                <w:shd w:val="clear"/>
                <w:rFonts w:hint="eastAsia"/>
              </w:rPr>
              <w:t>보여주며,</w:t>
            </w:r>
            <w:r>
              <w:rPr>
                <w:shd w:val="clear"/>
              </w:rPr>
              <w:t xml:space="preserve"> 자동으로 범주형 데이터를 인코딩하여 </w:t>
            </w:r>
            <w:r>
              <w:rPr>
                <w:shd w:val="clear"/>
              </w:rPr>
              <w:t xml:space="preserve">처리할 수 있는 </w:t>
            </w:r>
            <w:r>
              <w:rPr>
                <w:shd w:val="clear"/>
                <w:rFonts w:hint="eastAsia"/>
              </w:rPr>
              <w:t>특징.</w:t>
            </w:r>
          </w:p>
          <w:p>
            <w:pPr>
              <w:pStyle w:val="PO9"/>
              <w:numPr>
                <w:numId w:val="8"/>
                <w:ilvl w:val="0"/>
              </w:numPr>
              <w:ind w:left="1320" w:firstLine="0" w:leftChars="400"/>
              <w:rPr>
                <w:shd w:val="clear"/>
              </w:rPr>
            </w:pPr>
            <w:r>
              <w:rPr>
                <w:shd w:val="clear"/>
              </w:rPr>
              <w:t>장점</w:t>
            </w:r>
          </w:p>
          <w:p>
            <w:pPr>
              <w:pStyle w:val="PO26"/>
              <w:numPr>
                <w:numId w:val="7"/>
                <w:ilvl w:val="0"/>
              </w:numPr>
              <w:spacing w:before="100" w:beforeAutospacing="1" w:after="100" w:afterAutospacing="1"/>
              <w:ind w:left="1240" w:firstLine="0" w:leftChars="400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범주형 데이터 처리</w:t>
            </w:r>
            <w:r>
              <w:rPr>
                <w:shd w:val="clear"/>
              </w:rPr>
              <w:t xml:space="preserve">: 범주형 데이터를 자동으로 처리하여 성능을 극대화.</w:t>
            </w:r>
          </w:p>
          <w:p>
            <w:pPr>
              <w:pStyle w:val="PO26"/>
              <w:numPr>
                <w:numId w:val="7"/>
                <w:ilvl w:val="0"/>
              </w:numPr>
              <w:spacing w:before="100" w:beforeAutospacing="1" w:after="100" w:afterAutospacing="1"/>
              <w:ind w:left="1240" w:firstLine="0" w:leftChars="400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고성능</w:t>
            </w:r>
            <w:r>
              <w:rPr>
                <w:shd w:val="clear"/>
              </w:rPr>
              <w:t xml:space="preserve">: 다양한 데이터셋에서 높은 예측 성능을 보임.</w:t>
            </w:r>
          </w:p>
          <w:p>
            <w:pPr>
              <w:pStyle w:val="PO26"/>
              <w:numPr>
                <w:numId w:val="7"/>
                <w:ilvl w:val="0"/>
              </w:numPr>
              <w:spacing w:before="100" w:beforeAutospacing="1" w:after="100" w:afterAutospacing="1"/>
              <w:ind w:left="1240" w:firstLine="0" w:leftChars="400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사용 용이성</w:t>
            </w:r>
            <w:r>
              <w:rPr>
                <w:shd w:val="clear"/>
              </w:rPr>
              <w:t xml:space="preserve">: 별도의 데이터 전처리가 거의 필요 없음.</w:t>
            </w:r>
          </w:p>
          <w:p>
            <w:pPr>
              <w:pStyle w:val="PO9"/>
              <w:numPr>
                <w:numId w:val="8"/>
                <w:ilvl w:val="0"/>
              </w:numPr>
              <w:ind w:left="1320" w:firstLine="0" w:leftChars="400"/>
              <w:rPr>
                <w:shd w:val="clear"/>
              </w:rPr>
            </w:pPr>
            <w:r>
              <w:rPr>
                <w:shd w:val="clear"/>
              </w:rPr>
              <w:t>단점</w:t>
            </w:r>
          </w:p>
          <w:p>
            <w:pPr>
              <w:pStyle w:val="PO26"/>
              <w:numPr>
                <w:numId w:val="7"/>
                <w:ilvl w:val="0"/>
              </w:numPr>
              <w:spacing w:before="100" w:beforeAutospacing="1" w:after="100" w:afterAutospacing="1"/>
              <w:ind w:left="1240" w:firstLine="0" w:leftChars="400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학습 속도</w:t>
            </w:r>
            <w:r>
              <w:rPr>
                <w:shd w:val="clear"/>
              </w:rPr>
              <w:t xml:space="preserve">: 다른 Gradient Boosting 알고리즘에 비해 다소 느릴 수 있음.</w:t>
            </w:r>
          </w:p>
          <w:p>
            <w:pPr>
              <w:pStyle w:val="PO26"/>
              <w:numPr>
                <w:numId w:val="7"/>
                <w:ilvl w:val="0"/>
              </w:numPr>
              <w:spacing w:lineRule="auto" w:line="360" w:before="100" w:beforeAutospacing="1" w:after="100" w:afterAutospacing="1"/>
              <w:ind w:left="1240" w:firstLine="0" w:leftChars="400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복잡성</w:t>
            </w:r>
            <w:r>
              <w:rPr>
                <w:shd w:val="clear"/>
              </w:rPr>
              <w:t xml:space="preserve">: 많은 하이퍼파라미터가 있어 최적화가 어려울 수 있음.</w:t>
            </w:r>
          </w:p>
          <w:p>
            <w:pPr>
              <w:pStyle w:val="PO26"/>
              <w:numPr>
                <w:numId w:val="6"/>
                <w:ilvl w:val="0"/>
              </w:numPr>
              <w:jc w:val="both"/>
              <w:spacing w:lineRule="auto" w:line="335" w:after="0"/>
              <w:ind w:left="978" w:hanging="538" w:leftChars="200"/>
              <w:rPr>
                <w:color w:val="000000" w:themeColor="text1"/>
                <w:shd w:val="clear"/>
                <w:rFonts w:asciiTheme="majorHAnsi" w:eastAsiaTheme="majorHAnsi" w:hAnsiTheme="majorHAnsi" w:cstheme="majorBidi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K-Nearest Neighbors (KNN)</w:t>
            </w:r>
            <w:r>
              <w:rPr>
                <w:shd w:val="clear"/>
                <w:rFonts w:hint="eastAsia"/>
              </w:rPr>
              <w:t xml:space="preserve">: </w:t>
            </w:r>
            <w:r>
              <w:rPr>
                <w:shd w:val="clear"/>
              </w:rPr>
              <w:t xml:space="preserve">KNN은 새로운 데이터 포인트를 기존 데이터와 비교하여 </w:t>
            </w:r>
            <w:r>
              <w:rPr>
                <w:shd w:val="clear"/>
              </w:rPr>
              <w:t xml:space="preserve">가장 가까운 K개의 이웃을 기준으로 분류하거나 회귀하는 비모수적 방법</w:t>
            </w:r>
            <w:r>
              <w:rPr>
                <w:shd w:val="clear"/>
                <w:rFonts w:hint="eastAsia"/>
              </w:rPr>
              <w:t xml:space="preserve">. </w:t>
            </w:r>
            <w:r>
              <w:rPr>
                <w:shd w:val="clear"/>
              </w:rPr>
              <w:t xml:space="preserve">거리 측정 </w:t>
            </w:r>
            <w:r>
              <w:rPr>
                <w:shd w:val="clear"/>
              </w:rPr>
              <w:t xml:space="preserve">방식을 통해 데이터의 유사성을 기반으로 예측</w:t>
            </w:r>
            <w:r>
              <w:rPr>
                <w:shd w:val="clear"/>
                <w:rFonts w:hint="eastAsia"/>
              </w:rPr>
              <w:t>.</w:t>
            </w:r>
          </w:p>
          <w:p>
            <w:pPr>
              <w:pStyle w:val="PO9"/>
              <w:numPr>
                <w:numId w:val="8"/>
                <w:ilvl w:val="0"/>
              </w:numPr>
              <w:ind w:left="1320" w:firstLine="0" w:leftChars="400"/>
              <w:rPr>
                <w:shd w:val="clear"/>
              </w:rPr>
            </w:pPr>
            <w:r>
              <w:rPr>
                <w:shd w:val="clear"/>
              </w:rPr>
              <w:t>장점</w:t>
            </w:r>
          </w:p>
          <w:p>
            <w:pPr>
              <w:pStyle w:val="PO26"/>
              <w:numPr>
                <w:numId w:val="7"/>
                <w:ilvl w:val="0"/>
              </w:numPr>
              <w:spacing w:before="100" w:beforeAutospacing="1" w:after="100" w:afterAutospacing="1"/>
              <w:ind w:left="1240" w:firstLine="0" w:leftChars="400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단순함</w:t>
            </w:r>
            <w:r>
              <w:rPr>
                <w:shd w:val="clear"/>
              </w:rPr>
              <w:t xml:space="preserve">: 이해하고 구현하기 쉬움.</w:t>
            </w:r>
          </w:p>
          <w:p>
            <w:pPr>
              <w:pStyle w:val="PO26"/>
              <w:numPr>
                <w:numId w:val="7"/>
                <w:ilvl w:val="0"/>
              </w:numPr>
              <w:spacing w:before="100" w:beforeAutospacing="1" w:after="100" w:afterAutospacing="1"/>
              <w:ind w:left="1240" w:firstLine="0" w:leftChars="400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유연성</w:t>
            </w:r>
            <w:r>
              <w:rPr>
                <w:shd w:val="clear"/>
              </w:rPr>
              <w:t xml:space="preserve">: 분류와 회귀 모두 사용 가능.</w:t>
            </w:r>
          </w:p>
          <w:p>
            <w:pPr>
              <w:pStyle w:val="PO9"/>
              <w:numPr>
                <w:numId w:val="8"/>
                <w:ilvl w:val="0"/>
              </w:numPr>
              <w:ind w:left="1320" w:firstLine="0" w:leftChars="400"/>
              <w:rPr>
                <w:shd w:val="clear"/>
              </w:rPr>
            </w:pPr>
            <w:r>
              <w:rPr>
                <w:shd w:val="clear"/>
              </w:rPr>
              <w:t>단점</w:t>
            </w:r>
          </w:p>
          <w:p>
            <w:pPr>
              <w:pStyle w:val="PO26"/>
              <w:numPr>
                <w:numId w:val="7"/>
                <w:ilvl w:val="0"/>
              </w:numPr>
              <w:spacing w:before="100" w:beforeAutospacing="1" w:after="100" w:afterAutospacing="1"/>
              <w:ind w:left="1240" w:firstLine="0" w:leftChars="400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느린 예측 속도</w:t>
            </w:r>
            <w:r>
              <w:rPr>
                <w:shd w:val="clear"/>
              </w:rPr>
              <w:t xml:space="preserve">: 새로운 데이터 포인트를 예측할 때 모든 데이터를 비교해야 하므로 </w:t>
            </w:r>
            <w:r>
              <w:rPr>
                <w:shd w:val="clear"/>
              </w:rPr>
              <w:t xml:space="preserve">느릴 수 있음.</w:t>
            </w:r>
          </w:p>
          <w:p>
            <w:pPr>
              <w:pStyle w:val="PO26"/>
              <w:numPr>
                <w:numId w:val="7"/>
                <w:ilvl w:val="0"/>
              </w:numPr>
              <w:spacing w:before="100" w:beforeAutospacing="1" w:after="100" w:afterAutospacing="1"/>
              <w:ind w:left="1240" w:firstLine="0" w:leftChars="400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메모리 사용량</w:t>
            </w:r>
            <w:r>
              <w:rPr>
                <w:shd w:val="clear"/>
              </w:rPr>
              <w:t xml:space="preserve">: 모든 데이터를 저장해야 하므로 메모리 사용량이 많음.</w:t>
            </w:r>
          </w:p>
          <w:p>
            <w:pPr>
              <w:pStyle w:val="PO26"/>
              <w:numPr>
                <w:numId w:val="7"/>
                <w:ilvl w:val="0"/>
              </w:numPr>
              <w:spacing w:before="100" w:beforeAutospacing="1" w:after="100" w:afterAutospacing="1"/>
              <w:ind w:left="1240" w:firstLine="0" w:leftChars="400"/>
              <w:rPr>
                <w:rStyle w:val="PO20"/>
                <w:b w:val="0"/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불균형 데이터</w:t>
            </w:r>
            <w:r>
              <w:rPr>
                <w:shd w:val="clear"/>
              </w:rPr>
              <w:t xml:space="preserve">: 데이터가 불균형할 경우 성능이 저하될 수 있음.</w:t>
            </w:r>
          </w:p>
          <w:p>
            <w:pPr>
              <w:pStyle w:val="PO166"/>
              <w:numPr>
                <w:numId w:val="4"/>
                <w:ilvl w:val="0"/>
              </w:numPr>
              <w:rPr>
                <w:b w:val="1"/>
                <w:shd w:val="clear"/>
              </w:rPr>
            </w:pPr>
            <w:r>
              <w:rPr>
                <w:b w:val="1"/>
                <w:shd w:val="clear"/>
                <w:rFonts w:hint="eastAsia"/>
              </w:rPr>
              <w:t xml:space="preserve">예측 데이터 설정</w:t>
            </w:r>
          </w:p>
          <w:p>
            <w:pPr>
              <w:pStyle w:val="PO166"/>
              <w:ind w:left="360" w:firstLine="0"/>
              <w:rPr>
                <w:shd w:val="clear"/>
              </w:rPr>
            </w:pPr>
            <w:r>
              <w:rPr>
                <w:shd w:val="clear"/>
              </w:rPr>
              <w:t xml:space="preserve">최적의 공장부지 '구'</w:t>
            </w:r>
            <w:r>
              <w:rPr>
                <w:shd w:val="clear"/>
                <w:rFonts w:hint="eastAsia"/>
              </w:rPr>
              <w:t xml:space="preserve">(특정 지역의 경우 </w:t>
            </w:r>
            <w:r>
              <w:rPr>
                <w:shd w:val="clear"/>
              </w:rPr>
              <w:t>‘</w:t>
            </w:r>
            <w:r>
              <w:rPr>
                <w:shd w:val="clear"/>
                <w:rFonts w:hint="eastAsia"/>
              </w:rPr>
              <w:t>동</w:t>
            </w:r>
            <w:r>
              <w:rPr>
                <w:shd w:val="clear"/>
              </w:rPr>
              <w:t>’</w:t>
            </w:r>
            <w:r>
              <w:rPr>
                <w:shd w:val="clear"/>
                <w:rFonts w:hint="eastAsia"/>
              </w:rPr>
              <w:t xml:space="preserve">, </w:t>
            </w:r>
            <w:r>
              <w:rPr>
                <w:shd w:val="clear"/>
              </w:rPr>
              <w:t>‘</w:t>
            </w:r>
            <w:r>
              <w:rPr>
                <w:shd w:val="clear"/>
                <w:rFonts w:hint="eastAsia"/>
              </w:rPr>
              <w:t>읍</w:t>
            </w:r>
            <w:r>
              <w:rPr>
                <w:shd w:val="clear"/>
              </w:rPr>
              <w:t>’</w:t>
            </w:r>
            <w:r>
              <w:rPr>
                <w:shd w:val="clear"/>
                <w:rFonts w:hint="eastAsia"/>
              </w:rPr>
              <w:t xml:space="preserve">. </w:t>
            </w:r>
            <w:r>
              <w:rPr>
                <w:shd w:val="clear"/>
              </w:rPr>
              <w:t>‘</w:t>
            </w:r>
            <w:r>
              <w:rPr>
                <w:shd w:val="clear"/>
                <w:rFonts w:hint="eastAsia"/>
              </w:rPr>
              <w:t>면</w:t>
            </w:r>
            <w:r>
              <w:rPr>
                <w:shd w:val="clear"/>
              </w:rPr>
              <w:t>’</w:t>
            </w:r>
            <w:r>
              <w:rPr>
                <w:shd w:val="clear"/>
                <w:rFonts w:hint="eastAsia"/>
              </w:rPr>
              <w:t>)를</w:t>
            </w:r>
            <w:r>
              <w:rPr>
                <w:shd w:val="clear"/>
              </w:rPr>
              <w:t xml:space="preserve"> 추천하려고 합니다. </w:t>
            </w:r>
            <w:r>
              <w:rPr>
                <w:shd w:val="clear"/>
              </w:rPr>
              <w:t xml:space="preserve">공장주소_지번의 데이터를 시, 구, 동으로 나눠서 '구' 예측을 진행합니다.</w:t>
            </w:r>
          </w:p>
          <w:p>
            <w:pPr>
              <w:pStyle w:val="PO166"/>
              <w:ind w:left="360" w:firstLine="0"/>
              <w:rPr>
                <w:rStyle w:val="PO20"/>
                <w:b w:val="0"/>
                <w:shd w:val="clear"/>
              </w:rPr>
            </w:pPr>
            <w:r>
              <w:rPr>
                <w:rStyle w:val="PO20"/>
                <w:b w:val="0"/>
                <w:shd w:val="clear"/>
                <w:rFonts w:hint="eastAsia"/>
              </w:rPr>
              <w:t xml:space="preserve">예시) </w:t>
            </w:r>
            <w:r>
              <w:rPr>
                <w:rStyle w:val="PO20"/>
                <w:b w:val="0"/>
                <w:shd w:val="clear"/>
              </w:rPr>
              <w:t>‘</w:t>
            </w:r>
            <w:r>
              <w:rPr>
                <w:rStyle w:val="PO20"/>
                <w:b w:val="0"/>
                <w:shd w:val="clear"/>
                <w:rFonts w:hint="eastAsia"/>
              </w:rPr>
              <w:t xml:space="preserve">서울특별시 종로구 창선동 87-1 번지</w:t>
            </w:r>
            <w:r>
              <w:rPr>
                <w:rStyle w:val="PO20"/>
                <w:b w:val="0"/>
                <w:shd w:val="clear"/>
              </w:rPr>
              <w:t>’</w:t>
            </w:r>
            <w:r>
              <w:rPr>
                <w:rStyle w:val="PO20"/>
                <w:b w:val="0"/>
                <w:shd w:val="clear"/>
                <w:rFonts w:hint="eastAsia"/>
              </w:rPr>
              <w:t xml:space="preserve">를 서울특별시 / 종로구 / 창선동 으로 </w:t>
            </w:r>
            <w:r>
              <w:rPr>
                <w:rStyle w:val="PO20"/>
                <w:b w:val="0"/>
                <w:shd w:val="clear"/>
                <w:rFonts w:hint="eastAsia"/>
              </w:rPr>
              <w:t xml:space="preserve">분리한 후 </w:t>
            </w:r>
            <w:r>
              <w:rPr>
                <w:rStyle w:val="PO20"/>
                <w:b w:val="0"/>
                <w:shd w:val="clear"/>
              </w:rPr>
              <w:t>‘</w:t>
            </w:r>
            <w:r>
              <w:rPr>
                <w:rStyle w:val="PO20"/>
                <w:b w:val="0"/>
                <w:shd w:val="clear"/>
                <w:rFonts w:hint="eastAsia"/>
              </w:rPr>
              <w:t>창성동</w:t>
            </w:r>
            <w:r>
              <w:rPr>
                <w:rStyle w:val="PO20"/>
                <w:b w:val="0"/>
                <w:shd w:val="clear"/>
              </w:rPr>
              <w:t>’</w:t>
            </w:r>
            <w:r>
              <w:rPr>
                <w:rStyle w:val="PO20"/>
                <w:b w:val="0"/>
                <w:shd w:val="clear"/>
                <w:rFonts w:hint="eastAsia"/>
              </w:rPr>
              <w:t xml:space="preserve">을 예측 값으로 선정</w:t>
            </w:r>
          </w:p>
          <w:p>
            <w:pPr>
              <w:pStyle w:val="PO9"/>
              <w:rPr>
                <w:b w:val="1"/>
                <w:shd w:val="clear"/>
              </w:rPr>
            </w:pPr>
            <w:r>
              <w:rPr>
                <w:b w:val="1"/>
                <w:shd w:val="clear"/>
              </w:rPr>
              <w:t xml:space="preserve">모델 성능 결과 (전처리 없이</w:t>
            </w:r>
            <w:r>
              <w:rPr>
                <w:b w:val="1"/>
                <w:shd w:val="clear"/>
                <w:rFonts w:hint="eastAsia"/>
              </w:rPr>
              <w:t xml:space="preserve"> 진행</w:t>
            </w:r>
            <w:r>
              <w:rPr>
                <w:b w:val="1"/>
                <w:shd w:val="clear"/>
              </w:rPr>
              <w:t>)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데이터 분할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데이터셋을 학습, 검증, 테스트 세트로 분할하였습니다. 이를 통해 모델의 성능을 보다 </w:t>
            </w:r>
            <w:r>
              <w:rPr>
                <w:shd w:val="clear"/>
              </w:rPr>
              <w:t xml:space="preserve">정확하게 평가할 수 있습니다.</w:t>
            </w:r>
          </w:p>
          <w:p>
            <w:pPr>
              <w:numPr>
                <w:numId w:val="9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전체 데이터의 15%는 테스트 데이터로 사용하였습니다.</w:t>
            </w:r>
          </w:p>
          <w:p>
            <w:pPr>
              <w:numPr>
                <w:numId w:val="9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나머지 85%의 데이터 중 20%는 검증 데이터로 사용하였고, 나머지 80%는 학습 데이터로 </w:t>
            </w:r>
            <w:r>
              <w:rPr>
                <w:shd w:val="clear"/>
              </w:rPr>
              <w:t>사용하였습니다.</w:t>
            </w:r>
          </w:p>
          <w:p>
            <w:pPr>
              <w:numPr>
                <w:numId w:val="9"/>
                <w:ilvl w:val="0"/>
              </w:numPr>
              <w:spacing w:before="100" w:beforeAutospacing="1" w:after="100" w:afterAutospacing="1"/>
              <w:rPr>
                <w:rStyle w:val="PO20"/>
                <w:b w:val="0"/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결과적으로, 전체 데이터의 68%는 학습 데이터, 17%는 검증 데이터, 15%는 테스트 </w:t>
            </w:r>
            <w:r>
              <w:rPr>
                <w:shd w:val="clear"/>
              </w:rPr>
              <w:t xml:space="preserve">데이터로 구성되었습니다.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Look w:val="0004A0" w:firstRow="1" w:lastRow="0" w:firstColumn="1" w:lastColumn="0" w:noHBand="0" w:noVBand="1"/>
              <w:tblLayout w:type="auto"/>
            </w:tblPr>
            <w:tblGrid>
              <w:gridCol w:w="3375"/>
              <w:gridCol w:w="2832"/>
              <w:gridCol w:w="3104"/>
            </w:tblGrid>
            <w:tr>
              <w:trPr>
                <w:trHeight w:hRule="atleast" w:val="389"/>
              </w:trPr>
              <w:tc>
                <w:tcPr>
                  <w:tcW w:type="dxa" w:w="3375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</w:rPr>
                    <w:t>모델</w:t>
                  </w:r>
                </w:p>
              </w:tc>
              <w:tc>
                <w:tcPr>
                  <w:tcW w:type="dxa" w:w="2832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정확도 (Accuracy)</w:t>
                  </w:r>
                </w:p>
              </w:tc>
              <w:tc>
                <w:tcPr>
                  <w:tcW w:type="dxa" w:w="3104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F1-Score</w:t>
                  </w:r>
                </w:p>
              </w:tc>
            </w:tr>
            <w:tr>
              <w:trPr>
                <w:trHeight w:hRule="atleast" w:val="409"/>
              </w:trPr>
              <w:tc>
                <w:tcPr>
                  <w:tcW w:type="dxa" w:w="3375"/>
                  <w:vAlign w:val="top"/>
                </w:tcPr>
                <w:p>
                  <w:pPr>
                    <w:pStyle w:val="PO166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>XGBoost</w:t>
                  </w:r>
                </w:p>
              </w:tc>
              <w:tc>
                <w:tcPr>
                  <w:tcW w:type="dxa" w:w="2832"/>
                  <w:vAlign w:val="top"/>
                </w:tcPr>
                <w:p>
                  <w:pPr>
                    <w:pStyle w:val="PO166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>0.6759</w:t>
                  </w:r>
                </w:p>
              </w:tc>
              <w:tc>
                <w:tcPr>
                  <w:tcW w:type="dxa" w:w="3104"/>
                  <w:vAlign w:val="top"/>
                </w:tcPr>
                <w:p>
                  <w:pPr>
                    <w:pStyle w:val="PO166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>0.3561</w:t>
                  </w:r>
                </w:p>
              </w:tc>
            </w:tr>
            <w:tr>
              <w:trPr>
                <w:trHeight w:hRule="atleast" w:val="415"/>
              </w:trPr>
              <w:tc>
                <w:tcPr>
                  <w:tcW w:type="dxa" w:w="3375"/>
                  <w:vAlign w:val="top"/>
                </w:tcPr>
                <w:p>
                  <w:pPr>
                    <w:pStyle w:val="PO166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>LightGBM</w:t>
                  </w:r>
                </w:p>
              </w:tc>
              <w:tc>
                <w:tcPr>
                  <w:tcW w:type="dxa" w:w="2832"/>
                  <w:vAlign w:val="top"/>
                </w:tcPr>
                <w:p>
                  <w:pPr>
                    <w:pStyle w:val="PO166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>0.6795</w:t>
                  </w:r>
                </w:p>
              </w:tc>
              <w:tc>
                <w:tcPr>
                  <w:tcW w:type="dxa" w:w="3104"/>
                  <w:vAlign w:val="top"/>
                </w:tcPr>
                <w:p>
                  <w:pPr>
                    <w:pStyle w:val="PO166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>0.3488</w:t>
                  </w:r>
                </w:p>
              </w:tc>
            </w:tr>
            <w:tr>
              <w:trPr>
                <w:trHeight w:hRule="atleast" w:val="421"/>
              </w:trPr>
              <w:tc>
                <w:tcPr>
                  <w:tcW w:type="dxa" w:w="3375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CatBoost (Original)</w:t>
                  </w:r>
                </w:p>
              </w:tc>
              <w:tc>
                <w:tcPr>
                  <w:tcW w:type="dxa" w:w="2832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0.6100</w:t>
                  </w:r>
                </w:p>
              </w:tc>
              <w:tc>
                <w:tcPr>
                  <w:tcW w:type="dxa" w:w="3104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0.3300</w:t>
                  </w:r>
                </w:p>
              </w:tc>
            </w:tr>
            <w:tr>
              <w:trPr>
                <w:trHeight w:hRule="atleast" w:val="427"/>
              </w:trPr>
              <w:tc>
                <w:tcPr>
                  <w:tcW w:type="dxa" w:w="3375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CatBoost (Label Encoding)</w:t>
                  </w:r>
                </w:p>
              </w:tc>
              <w:tc>
                <w:tcPr>
                  <w:tcW w:type="dxa" w:w="2832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0.6500</w:t>
                  </w:r>
                </w:p>
              </w:tc>
              <w:tc>
                <w:tcPr>
                  <w:tcW w:type="dxa" w:w="3104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0.3300</w:t>
                  </w:r>
                </w:p>
              </w:tc>
            </w:tr>
            <w:tr>
              <w:trPr/>
              <w:tc>
                <w:tcPr>
                  <w:tcW w:type="dxa" w:w="3375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KNN</w:t>
                  </w:r>
                </w:p>
              </w:tc>
              <w:tc>
                <w:tcPr>
                  <w:tcW w:type="dxa" w:w="2832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0.4700</w:t>
                  </w:r>
                </w:p>
              </w:tc>
              <w:tc>
                <w:tcPr>
                  <w:tcW w:type="dxa" w:w="3104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0.1500</w:t>
                  </w:r>
                </w:p>
              </w:tc>
            </w:tr>
          </w:tbl>
          <w:p>
            <w:pPr>
              <w:jc w:val="both"/>
              <w:spacing w:lineRule="auto" w:line="335" w:after="0"/>
              <w:ind w:left="538" w:hanging="538"/>
              <w:rPr>
                <w:color w:val="000000" w:themeColor="text1"/>
                <w:sz w:val="18"/>
                <w:szCs w:val="18"/>
                <w:shd w:val="clear"/>
                <w:rFonts w:asciiTheme="majorHAnsi" w:eastAsiaTheme="majorHAnsi" w:hAnsiTheme="majorHAnsi" w:cstheme="majorBid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 w:themeColor="text1"/>
                <w:sz w:val="18"/>
                <w:szCs w:val="18"/>
                <w:shd w:val="clear"/>
                <w:rFonts w:asciiTheme="majorHAnsi" w:eastAsiaTheme="majorHAnsi" w:hAnsiTheme="majorHAnsi" w:cstheme="majorBidi" w:hint="eastAsia"/>
              </w:rPr>
              <w:t xml:space="preserve">*Accuracy(정확도): Accuracy는 전체 데이터 중에서 모델이 올바르게 예측한 데이터의 비율을 의미합니다. 이는 가장 </w:t>
            </w:r>
            <w:r>
              <w:rPr>
                <w:color w:val="000000" w:themeColor="text1"/>
                <w:sz w:val="18"/>
                <w:szCs w:val="18"/>
                <w:shd w:val="clear"/>
                <w:rFonts w:asciiTheme="majorHAnsi" w:eastAsiaTheme="majorHAnsi" w:hAnsiTheme="majorHAnsi" w:cstheme="majorBidi" w:hint="eastAsia"/>
              </w:rPr>
              <w:t xml:space="preserve">직관적인 성능 지표로, 특히 데이터가 균형 잡혀 있을 때 유용합니다.</w:t>
            </w:r>
          </w:p>
          <w:p>
            <w:pPr>
              <w:jc w:val="both"/>
              <w:spacing w:lineRule="auto" w:line="335" w:after="0"/>
              <w:ind w:left="538" w:hanging="538"/>
              <w:rPr>
                <w:color w:val="000000" w:themeColor="text1"/>
                <w:sz w:val="18"/>
                <w:szCs w:val="18"/>
                <w:shd w:val="clear"/>
                <w:rFonts w:asciiTheme="majorHAnsi" w:eastAsiaTheme="majorHAnsi" w:hAnsiTheme="majorHAnsi" w:cstheme="majorBid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 w:themeColor="text1"/>
                <w:sz w:val="18"/>
                <w:szCs w:val="18"/>
                <w:shd w:val="clear"/>
                <w:rFonts w:asciiTheme="majorHAnsi" w:eastAsiaTheme="majorHAnsi" w:hAnsiTheme="majorHAnsi" w:cstheme="majorBidi" w:hint="eastAsia"/>
              </w:rPr>
              <w:t xml:space="preserve">*F1-Score: F1-Score는 Precision과 Recall의 조화 평균을 사용하여 계산됩니다. 이는 데이터가 불균형 할 때 모델의 </w:t>
            </w:r>
            <w:r>
              <w:rPr>
                <w:color w:val="000000" w:themeColor="text1"/>
                <w:sz w:val="18"/>
                <w:szCs w:val="18"/>
                <w:shd w:val="clear"/>
                <w:rFonts w:asciiTheme="majorHAnsi" w:eastAsiaTheme="majorHAnsi" w:hAnsiTheme="majorHAnsi" w:cstheme="majorBidi" w:hint="eastAsia"/>
              </w:rPr>
              <w:t xml:space="preserve">성능을 더 잘 평가할 수 있는 지표입니다. </w:t>
            </w:r>
          </w:p>
          <w:p>
            <w:pPr>
              <w:pStyle w:val="PO10"/>
              <w:rPr>
                <w:shd w:val="clear"/>
              </w:rPr>
            </w:pPr>
            <w:r>
              <w:rPr>
                <w:shd w:val="clear"/>
              </w:rPr>
              <w:t xml:space="preserve">이 평가 결과는 데이터 전처리를 적용하기 전의 모델 성능을 보여주며, 이후 단계에서 적용될 다</w:t>
            </w:r>
            <w:r>
              <w:rPr>
                <w:shd w:val="clear"/>
              </w:rPr>
              <w:t xml:space="preserve">양한 전처리 기법이 모델 성능에 미치는 영향을 평가하기 위한 기준점으로 활용됩니다.</w:t>
            </w:r>
          </w:p>
          <w:p>
            <w:pPr>
              <w:rPr>
                <w:shd w:val="clear"/>
              </w:rPr>
            </w:pPr>
          </w:p>
          <w:p>
            <w:pPr>
              <w:pStyle w:val="PO7"/>
              <w:rPr>
                <w:shd w:val="clear"/>
              </w:rPr>
            </w:pPr>
            <w:r>
              <w:rPr>
                <w:shd w:val="clear"/>
              </w:rPr>
              <w:t xml:space="preserve">분석 알고리즘 세부 내용</w:t>
            </w:r>
          </w:p>
          <w:p>
            <w:pPr>
              <w:pStyle w:val="PO166"/>
              <w:numPr>
                <w:numId w:val="5"/>
                <w:ilvl w:val="0"/>
              </w:numPr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Scaler 적용</w:t>
            </w:r>
            <w:r>
              <w:rPr>
                <w:rStyle w:val="PO20"/>
                <w:b w:val="0"/>
                <w:shd w:val="clear"/>
                <w:rFonts w:hint="eastAsia"/>
              </w:rPr>
              <w:t xml:space="preserve">: </w:t>
            </w:r>
            <w:r>
              <w:rPr>
                <w:shd w:val="clear"/>
              </w:rPr>
              <w:t xml:space="preserve">스케일링은 데이터의 크기를 일정한 범위로 조정하여 모델의 학습 </w:t>
            </w:r>
            <w:r>
              <w:rPr>
                <w:shd w:val="clear"/>
              </w:rPr>
              <w:t xml:space="preserve">성능을 높이고 학습 시간을 단축시키는 데 도움을 주는 방식입니다. 다양한 </w:t>
            </w:r>
            <w:r>
              <w:rPr>
                <w:shd w:val="clear"/>
              </w:rPr>
              <w:t xml:space="preserve">스케일링 방법을 적용하여 모델의 성능을 평가하였습니다.</w:t>
            </w:r>
          </w:p>
          <w:p>
            <w:pPr>
              <w:pStyle w:val="PO10"/>
              <w:numPr>
                <w:numId w:val="16"/>
                <w:ilvl w:val="0"/>
              </w:numPr>
              <w:rPr>
                <w:shd w:val="clear"/>
              </w:rPr>
            </w:pPr>
            <w:r>
              <w:rPr>
                <w:shd w:val="clear"/>
              </w:rPr>
              <w:t xml:space="preserve">Min-Max Scaler</w:t>
            </w:r>
            <w:r>
              <w:rPr>
                <w:shd w:val="clear"/>
                <w:rFonts w:hint="eastAsia"/>
              </w:rPr>
              <w:t xml:space="preserve">: </w:t>
            </w:r>
            <w:r>
              <w:rPr>
                <w:shd w:val="clear"/>
              </w:rPr>
              <w:t xml:space="preserve">Min-Max Scaler는 데이터의 최소값을 0으로, 최대값을 1로 변환합니다. </w:t>
            </w:r>
            <w:r>
              <w:rPr>
                <w:shd w:val="clear"/>
              </w:rPr>
              <w:t xml:space="preserve">이 스케일링 방법은 데이터의 범위를 [0, 1] 또는 사용자가 지정한 다른 범위로 조정합니</w:t>
            </w:r>
            <w:r>
              <w:rPr>
                <w:shd w:val="clear"/>
              </w:rPr>
              <w:t>다.</w:t>
            </w:r>
          </w:p>
          <w:p>
            <w:pPr>
              <w:pStyle w:val="PO166"/>
              <w:ind w:left="880" w:firstLine="0" w:leftChars="400"/>
              <w:rPr>
                <w:rStyle w:val="PO20"/>
                <w:shd w:val="clear"/>
              </w:rPr>
            </w:pPr>
            <w:r>
              <w:rPr>
                <w:rStyle w:val="PO20"/>
                <w:shd w:val="clear"/>
              </w:rPr>
              <w:t>공식</w:t>
            </w:r>
            <w:r>
              <w:rPr>
                <w:rStyle w:val="PO20"/>
                <w:shd w:val="clear"/>
                <w:rFonts w:hint="eastAsia"/>
              </w:rPr>
              <w:t>:</w:t>
            </w:r>
          </w:p>
          <w:p>
            <w:pPr>
              <w:pStyle w:val="PO166"/>
              <w:ind w:left="1760" w:firstLine="0" w:leftChars="800"/>
              <w:rPr>
                <w:shd w:val="clear"/>
              </w:rPr>
            </w:pPr>
            <w:r>
              <w:rPr>
                <w:sz w:val="20"/>
              </w:rPr>
              <w:drawing>
                <wp:inline distT="0" distB="0" distL="0" distR="0">
                  <wp:extent cx="1947545" cy="434340"/>
                  <wp:effectExtent l="0" t="0" r="0" b="3810"/>
                  <wp:docPr id="15" name="그림 1" descr="python - Can someone explain to me how MinMaxScaler() works? - Stack  Overfl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:/Users/vivid/AppData/Roaming/PolarisOffice/ETemp/9552_11243624/ima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180" cy="43497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166"/>
              <w:ind w:left="880" w:firstLine="0" w:leftChars="400"/>
              <w:rPr>
                <w:shd w:val="clear"/>
              </w:rPr>
            </w:pPr>
            <w:r>
              <w:rPr>
                <w:rStyle w:val="PO20"/>
                <w:shd w:val="clear"/>
              </w:rPr>
              <w:t>장점</w:t>
            </w:r>
          </w:p>
          <w:p>
            <w:pPr>
              <w:numPr>
                <w:numId w:val="10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직관적이고 이해하기 쉬움.</w:t>
            </w:r>
          </w:p>
          <w:p>
            <w:pPr>
              <w:numPr>
                <w:numId w:val="10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데이터가 고르게 분포된 경우 효과적.</w:t>
            </w:r>
          </w:p>
          <w:p>
            <w:pPr>
              <w:pStyle w:val="PO166"/>
              <w:ind w:left="880" w:firstLine="0" w:leftChars="400"/>
              <w:rPr>
                <w:shd w:val="clear"/>
              </w:rPr>
            </w:pPr>
            <w:r>
              <w:rPr>
                <w:rStyle w:val="PO20"/>
                <w:shd w:val="clear"/>
              </w:rPr>
              <w:t>단점</w:t>
            </w:r>
          </w:p>
          <w:p>
            <w:pPr>
              <w:numPr>
                <w:numId w:val="11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이상치(outlier)에 민감함. 이상치가 있는 경우 스케일링 결과가 왜곡될 수 있음.</w:t>
            </w:r>
          </w:p>
          <w:p>
            <w:pPr>
              <w:pStyle w:val="PO10"/>
              <w:numPr>
                <w:numId w:val="16"/>
                <w:ilvl w:val="0"/>
              </w:numPr>
              <w:rPr>
                <w:shd w:val="clear"/>
              </w:rPr>
            </w:pPr>
            <w:r>
              <w:rPr>
                <w:shd w:val="clear"/>
              </w:rPr>
              <w:t xml:space="preserve">Standard Scaler</w:t>
            </w:r>
            <w:r>
              <w:rPr>
                <w:shd w:val="clear"/>
                <w:rFonts w:hint="eastAsia"/>
              </w:rPr>
              <w:t xml:space="preserve">: </w:t>
            </w:r>
            <w:r>
              <w:rPr>
                <w:shd w:val="clear"/>
              </w:rPr>
              <w:t xml:space="preserve">Standard Scaler는 데이터의 평균을 0, 표준 편차를 1로 변환합니다. 이는 </w:t>
            </w:r>
            <w:r>
              <w:rPr>
                <w:shd w:val="clear"/>
              </w:rPr>
              <w:t xml:space="preserve">데이터가 정규 분포를 따를 때 효과적입니다.</w:t>
            </w:r>
          </w:p>
          <w:p>
            <w:pPr>
              <w:pStyle w:val="PO166"/>
              <w:ind w:left="880" w:firstLine="0" w:leftChars="400"/>
              <w:rPr>
                <w:rStyle w:val="PO20"/>
                <w:shd w:val="clear"/>
              </w:rPr>
            </w:pPr>
            <w:r>
              <w:rPr>
                <w:rStyle w:val="PO20"/>
                <w:shd w:val="clear"/>
              </w:rPr>
              <w:t>공식</w:t>
            </w:r>
            <w:r>
              <w:rPr>
                <w:rStyle w:val="PO20"/>
                <w:shd w:val="clear"/>
                <w:rFonts w:hint="eastAsia"/>
              </w:rPr>
              <w:t>:</w:t>
            </w:r>
          </w:p>
          <w:p>
            <w:pPr>
              <w:pStyle w:val="PO166"/>
              <w:ind w:left="1760" w:firstLine="0" w:leftChars="800"/>
              <w:rPr>
                <w:shd w:val="clear"/>
              </w:rPr>
            </w:pPr>
            <w:r>
              <w:rPr>
                <w:sz w:val="20"/>
              </w:rPr>
              <w:drawing>
                <wp:inline distT="0" distB="0" distL="0" distR="0">
                  <wp:extent cx="1737360" cy="618490"/>
                  <wp:effectExtent l="0" t="0" r="0" b="0"/>
                  <wp:docPr id="16" name="그림 2" descr="Which data scaling technique should I use ? | by Hasan Hüseyin Coşgun |  Med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:/Users/vivid/AppData/Roaming/PolarisOffice/ETemp/9552_11243624/imag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995" cy="61912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166"/>
              <w:ind w:left="880" w:firstLine="0" w:leftChars="400"/>
              <w:rPr>
                <w:shd w:val="clear"/>
              </w:rPr>
            </w:pPr>
            <w:r>
              <w:rPr>
                <w:rStyle w:val="PO20"/>
                <w:shd w:val="clear"/>
              </w:rPr>
              <w:t>장점</w:t>
            </w:r>
          </w:p>
          <w:p>
            <w:pPr>
              <w:numPr>
                <w:numId w:val="12"/>
                <w:ilvl w:val="0"/>
              </w:numPr>
              <w:spacing w:before="100" w:beforeAutospacing="1" w:after="100" w:afterAutospacing="1"/>
              <w:ind w:left="1601" w:firstLine="0" w:leftChars="5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이상치에 덜 민감함.</w:t>
            </w:r>
          </w:p>
          <w:p>
            <w:pPr>
              <w:numPr>
                <w:numId w:val="12"/>
                <w:ilvl w:val="0"/>
              </w:numPr>
              <w:spacing w:before="100" w:beforeAutospacing="1" w:after="100" w:afterAutospacing="1"/>
              <w:ind w:left="1601" w:firstLine="0" w:leftChars="5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대부분의 머신 러닝 알고리즘에서 기본적으로 선호됨.</w:t>
            </w:r>
          </w:p>
          <w:p>
            <w:pPr>
              <w:pStyle w:val="PO166"/>
              <w:ind w:left="880" w:firstLine="0" w:leftChars="400"/>
              <w:rPr>
                <w:shd w:val="clear"/>
              </w:rPr>
            </w:pPr>
            <w:r>
              <w:rPr>
                <w:rStyle w:val="PO20"/>
                <w:shd w:val="clear"/>
              </w:rPr>
              <w:t>단점</w:t>
            </w:r>
          </w:p>
          <w:p>
            <w:pPr>
              <w:numPr>
                <w:numId w:val="13"/>
                <w:ilvl w:val="0"/>
              </w:numPr>
              <w:spacing w:before="100" w:beforeAutospacing="1" w:after="100" w:afterAutospacing="1"/>
              <w:ind w:left="1601" w:firstLine="0" w:leftChars="5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데이터가 정규 분포를 따르지 않는 경우 효과가 떨어질 수 있음.</w:t>
            </w:r>
          </w:p>
          <w:p>
            <w:pPr>
              <w:pStyle w:val="PO10"/>
              <w:numPr>
                <w:numId w:val="16"/>
                <w:ilvl w:val="0"/>
              </w:numPr>
              <w:rPr>
                <w:shd w:val="clear"/>
              </w:rPr>
            </w:pPr>
            <w:r>
              <w:rPr>
                <w:shd w:val="clear"/>
              </w:rPr>
              <w:t xml:space="preserve">Robust Scaler</w:t>
            </w:r>
            <w:r>
              <w:rPr>
                <w:shd w:val="clear"/>
                <w:rFonts w:hint="eastAsia"/>
              </w:rPr>
              <w:t xml:space="preserve">: </w:t>
            </w:r>
            <w:r>
              <w:rPr>
                <w:shd w:val="clear"/>
              </w:rPr>
              <w:t xml:space="preserve">Robust Scaler는 중앙값(median)과 IQR(interquartile range, 1사분위수와 3사</w:t>
            </w:r>
            <w:r>
              <w:rPr>
                <w:shd w:val="clear"/>
              </w:rPr>
              <w:t xml:space="preserve">분위수의 차이)를 사용하여 스케일링합니다. 이는 이상치에 덜 민감하도록 설계되었습니</w:t>
            </w:r>
            <w:r>
              <w:rPr>
                <w:shd w:val="clear"/>
              </w:rPr>
              <w:t>다.</w:t>
            </w:r>
          </w:p>
          <w:p>
            <w:pPr>
              <w:pStyle w:val="PO166"/>
              <w:ind w:left="880" w:firstLine="0" w:leftChars="400"/>
              <w:rPr>
                <w:rStyle w:val="PO20"/>
                <w:shd w:val="clear"/>
              </w:rPr>
            </w:pPr>
            <w:r>
              <w:rPr>
                <w:rStyle w:val="PO20"/>
                <w:shd w:val="clear"/>
              </w:rPr>
              <w:t>공식</w:t>
            </w:r>
            <w:r>
              <w:rPr>
                <w:rStyle w:val="PO20"/>
                <w:shd w:val="clear"/>
                <w:rFonts w:hint="eastAsia"/>
              </w:rPr>
              <w:t>:</w:t>
            </w:r>
          </w:p>
          <w:p>
            <w:pPr>
              <w:pStyle w:val="PO166"/>
              <w:ind w:left="1760" w:firstLine="0" w:leftChars="800"/>
              <w:rPr>
                <w:shd w:val="clear"/>
              </w:rPr>
            </w:pPr>
            <w:r>
              <w:rPr>
                <w:sz w:val="20"/>
              </w:rPr>
              <w:drawing>
                <wp:inline distT="0" distB="0" distL="0" distR="0">
                  <wp:extent cx="1191260" cy="663575"/>
                  <wp:effectExtent l="0" t="0" r="8890" b="3810"/>
                  <wp:docPr id="17" name="그림 3" descr="Feature Scaling - Part 3 - GeeksforGeek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vivid/AppData/Roaming/PolarisOffice/ETemp/9552_11243624/imag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895" cy="66421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166"/>
              <w:ind w:left="880" w:firstLine="0" w:leftChars="400"/>
              <w:rPr>
                <w:shd w:val="clear"/>
              </w:rPr>
            </w:pPr>
            <w:r>
              <w:rPr>
                <w:rStyle w:val="PO20"/>
                <w:shd w:val="clear"/>
              </w:rPr>
              <w:t>장점</w:t>
            </w:r>
          </w:p>
          <w:p>
            <w:pPr>
              <w:numPr>
                <w:numId w:val="14"/>
                <w:ilvl w:val="0"/>
              </w:numPr>
              <w:spacing w:before="100" w:beforeAutospacing="1" w:after="100" w:afterAutospacing="1"/>
              <w:ind w:left="1601" w:firstLine="0" w:leftChars="5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이상치에 매우 강함.</w:t>
            </w:r>
          </w:p>
          <w:p>
            <w:pPr>
              <w:numPr>
                <w:numId w:val="14"/>
                <w:ilvl w:val="0"/>
              </w:numPr>
              <w:spacing w:before="100" w:beforeAutospacing="1" w:after="100" w:afterAutospacing="1"/>
              <w:ind w:left="1601" w:firstLine="0" w:leftChars="5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데이터가 이상치를 포함하는 경우 효과적.</w:t>
            </w:r>
          </w:p>
          <w:p>
            <w:pPr>
              <w:pStyle w:val="PO166"/>
              <w:ind w:left="880" w:firstLine="0" w:leftChars="400"/>
              <w:rPr>
                <w:shd w:val="clear"/>
              </w:rPr>
            </w:pPr>
            <w:r>
              <w:rPr>
                <w:rStyle w:val="PO20"/>
                <w:shd w:val="clear"/>
              </w:rPr>
              <w:t>단점</w:t>
            </w:r>
          </w:p>
          <w:p>
            <w:pPr>
              <w:numPr>
                <w:numId w:val="15"/>
                <w:ilvl w:val="0"/>
              </w:numPr>
              <w:spacing w:before="100" w:beforeAutospacing="1" w:after="100" w:afterAutospacing="1"/>
              <w:ind w:left="1601" w:firstLine="0" w:leftChars="5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데이터가 고르게 분포되지 않은 경우 효과가 떨어질 수 있음.</w:t>
            </w:r>
          </w:p>
          <w:p>
            <w:pPr>
              <w:pStyle w:val="PO9"/>
              <w:rPr>
                <w:shd w:val="clear"/>
              </w:rPr>
            </w:pPr>
            <w:r>
              <w:rPr>
                <w:shd w:val="clear"/>
              </w:rPr>
              <w:t xml:space="preserve">Scaler 적용 결과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3개의 Scaler를 적용했을 때의 정확도와 F1-Score 값은 다음과 같습니다: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Look w:val="0004A0" w:firstRow="1" w:lastRow="0" w:firstColumn="1" w:lastColumn="0" w:noHBand="0" w:noVBand="1"/>
              <w:tblLayout w:type="auto"/>
            </w:tblPr>
            <w:tblGrid>
              <w:gridCol w:w="3103"/>
              <w:gridCol w:w="3104"/>
              <w:gridCol w:w="3104"/>
            </w:tblGrid>
            <w:tr>
              <w:trPr/>
              <w:tc>
                <w:tcPr>
                  <w:tcW w:type="dxa" w:w="3103"/>
                  <w:vAlign w:val="top"/>
                </w:tcPr>
                <w:p>
                  <w:pPr>
                    <w:spacing w:before="100" w:beforeAutospacing="1" w:after="100" w:afterAutospacing="1"/>
                    <w:rPr>
                      <w:shd w:val="clear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shd w:val="clear"/>
                    </w:rPr>
                    <w:t>Scaler</w:t>
                  </w:r>
                </w:p>
              </w:tc>
              <w:tc>
                <w:tcPr>
                  <w:tcW w:type="dxa" w:w="3104"/>
                  <w:vAlign w:val="top"/>
                </w:tcPr>
                <w:p>
                  <w:pPr>
                    <w:spacing w:before="100" w:beforeAutospacing="1" w:after="100" w:afterAutospacing="1"/>
                    <w:rPr>
                      <w:shd w:val="clear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shd w:val="clear"/>
                    </w:rPr>
                    <w:t xml:space="preserve">XGBoost Accuracy</w:t>
                  </w:r>
                </w:p>
              </w:tc>
              <w:tc>
                <w:tcPr>
                  <w:tcW w:type="dxa" w:w="3104"/>
                  <w:vAlign w:val="top"/>
                </w:tcPr>
                <w:p>
                  <w:pPr>
                    <w:spacing w:before="100" w:beforeAutospacing="1" w:after="100" w:afterAutospacing="1"/>
                    <w:rPr>
                      <w:shd w:val="clear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shd w:val="clear"/>
                    </w:rPr>
                    <w:t xml:space="preserve">LGBM Accuracy</w:t>
                  </w:r>
                </w:p>
              </w:tc>
            </w:tr>
            <w:tr>
              <w:trPr/>
              <w:tc>
                <w:tcPr>
                  <w:tcW w:type="dxa" w:w="3103"/>
                  <w:vAlign w:val="top"/>
                </w:tcPr>
                <w:p>
                  <w:pPr>
                    <w:spacing w:before="100" w:beforeAutospacing="1" w:after="100" w:afterAutospacing="1"/>
                    <w:rPr>
                      <w:shd w:val="clear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shd w:val="clear"/>
                    </w:rPr>
                    <w:t xml:space="preserve">Min-Max Scaler</w:t>
                  </w:r>
                </w:p>
              </w:tc>
              <w:tc>
                <w:tcPr>
                  <w:tcW w:type="dxa" w:w="3104"/>
                  <w:vAlign w:val="top"/>
                </w:tcPr>
                <w:p>
                  <w:pPr>
                    <w:spacing w:before="100" w:beforeAutospacing="1" w:after="100" w:afterAutospacing="1"/>
                    <w:rPr>
                      <w:shd w:val="clear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shd w:val="clear"/>
                    </w:rPr>
                    <w:t>0.51</w:t>
                  </w:r>
                </w:p>
              </w:tc>
              <w:tc>
                <w:tcPr>
                  <w:tcW w:type="dxa" w:w="3104"/>
                  <w:vAlign w:val="top"/>
                </w:tcPr>
                <w:p>
                  <w:pPr>
                    <w:spacing w:before="100" w:beforeAutospacing="1" w:after="100" w:afterAutospacing="1"/>
                    <w:rPr>
                      <w:shd w:val="clear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shd w:val="clear"/>
                      <w:rFonts w:hint="eastAsia"/>
                    </w:rPr>
                    <w:t>0.58</w:t>
                  </w:r>
                </w:p>
              </w:tc>
            </w:tr>
            <w:tr>
              <w:trPr/>
              <w:tc>
                <w:tcPr>
                  <w:tcW w:type="dxa" w:w="3103"/>
                  <w:vAlign w:val="top"/>
                </w:tcPr>
                <w:p>
                  <w:pPr>
                    <w:spacing w:before="100" w:beforeAutospacing="1" w:after="100" w:afterAutospacing="1"/>
                    <w:rPr>
                      <w:shd w:val="clear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shd w:val="clear"/>
                    </w:rPr>
                    <w:t xml:space="preserve">Standard Scaler</w:t>
                  </w:r>
                </w:p>
              </w:tc>
              <w:tc>
                <w:tcPr>
                  <w:tcW w:type="dxa" w:w="3104"/>
                  <w:vAlign w:val="top"/>
                </w:tcPr>
                <w:p>
                  <w:pPr>
                    <w:spacing w:before="100" w:beforeAutospacing="1" w:after="100" w:afterAutospacing="1"/>
                    <w:rPr>
                      <w:shd w:val="clear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shd w:val="clear"/>
                      <w:rFonts w:hint="eastAsia"/>
                    </w:rPr>
                    <w:t>0.28</w:t>
                  </w:r>
                </w:p>
              </w:tc>
              <w:tc>
                <w:tcPr>
                  <w:tcW w:type="dxa" w:w="3104"/>
                  <w:vAlign w:val="top"/>
                </w:tcPr>
                <w:p>
                  <w:pPr>
                    <w:spacing w:before="100" w:beforeAutospacing="1" w:after="100" w:afterAutospacing="1"/>
                    <w:rPr>
                      <w:shd w:val="clear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shd w:val="clear"/>
                      <w:rFonts w:hint="eastAsia"/>
                    </w:rPr>
                    <w:t>0.44</w:t>
                  </w:r>
                </w:p>
              </w:tc>
            </w:tr>
            <w:tr>
              <w:trPr/>
              <w:tc>
                <w:tcPr>
                  <w:tcW w:type="dxa" w:w="3103"/>
                  <w:vAlign w:val="top"/>
                </w:tcPr>
                <w:p>
                  <w:pPr>
                    <w:spacing w:before="100" w:beforeAutospacing="1" w:after="100" w:afterAutospacing="1"/>
                    <w:rPr>
                      <w:shd w:val="clear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shd w:val="clear"/>
                    </w:rPr>
                    <w:t xml:space="preserve">Robust Scaler</w:t>
                  </w:r>
                </w:p>
              </w:tc>
              <w:tc>
                <w:tcPr>
                  <w:tcW w:type="dxa" w:w="3104"/>
                  <w:vAlign w:val="top"/>
                </w:tcPr>
                <w:p>
                  <w:pPr>
                    <w:spacing w:before="100" w:beforeAutospacing="1" w:after="100" w:afterAutospacing="1"/>
                    <w:rPr>
                      <w:shd w:val="clear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shd w:val="clear"/>
                      <w:rFonts w:hint="eastAsia"/>
                    </w:rPr>
                    <w:t>0.53</w:t>
                  </w:r>
                </w:p>
              </w:tc>
              <w:tc>
                <w:tcPr>
                  <w:tcW w:type="dxa" w:w="3104"/>
                  <w:vAlign w:val="top"/>
                </w:tcPr>
                <w:p>
                  <w:pPr>
                    <w:spacing w:before="100" w:beforeAutospacing="1" w:after="100" w:afterAutospacing="1"/>
                    <w:rPr>
                      <w:shd w:val="clear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shd w:val="clear"/>
                      <w:rFonts w:hint="eastAsia"/>
                    </w:rPr>
                    <w:t>0.30</w:t>
                  </w:r>
                </w:p>
              </w:tc>
            </w:tr>
          </w:tbl>
          <w:p>
            <w:p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3가지의 다양한 Scaler 방식을 진행하였으나, 오히려 정확도가 내려가는 결과를 보였습니다. </w:t>
            </w:r>
            <w:r>
              <w:rPr>
                <w:shd w:val="clear"/>
              </w:rPr>
              <w:t xml:space="preserve">따라서, Scaler는 적용하지 않기로 결정하였습니다.</w:t>
            </w:r>
          </w:p>
          <w:p>
            <w:pPr>
              <w:pStyle w:val="PO166"/>
              <w:numPr>
                <w:numId w:val="5"/>
                <w:ilvl w:val="0"/>
              </w:numPr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Encoding 방법</w:t>
            </w:r>
            <w:r>
              <w:rPr>
                <w:rStyle w:val="PO20"/>
                <w:b w:val="0"/>
                <w:shd w:val="clear"/>
                <w:rFonts w:hint="eastAsia"/>
              </w:rPr>
              <w:t xml:space="preserve">: </w:t>
            </w:r>
            <w:r>
              <w:rPr>
                <w:shd w:val="clear"/>
              </w:rPr>
              <w:t xml:space="preserve">범주형 데이터를 처리하기 위해 두 가지 주요 인코딩 기법을 </w:t>
            </w:r>
            <w:r>
              <w:rPr>
                <w:shd w:val="clear"/>
              </w:rPr>
              <w:t xml:space="preserve">적용하였습니다: Label Encoding과 Target Encoding. 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각 방법의 장단점과 적용 결과는 다음과 같습니다.</w:t>
            </w:r>
          </w:p>
          <w:p>
            <w:pPr>
              <w:pStyle w:val="PO10"/>
              <w:numPr>
                <w:numId w:val="21"/>
                <w:ilvl w:val="0"/>
              </w:numPr>
              <w:rPr>
                <w:shd w:val="clear"/>
              </w:rPr>
            </w:pPr>
            <w:r>
              <w:rPr>
                <w:shd w:val="clear"/>
              </w:rPr>
              <w:t xml:space="preserve">Label Encoding</w:t>
            </w:r>
            <w:r>
              <w:rPr>
                <w:shd w:val="clear"/>
                <w:rFonts w:hint="eastAsia"/>
              </w:rPr>
              <w:t xml:space="preserve">: </w:t>
            </w:r>
            <w:r>
              <w:rPr>
                <w:shd w:val="clear"/>
              </w:rPr>
              <w:t xml:space="preserve">Label Encoding은 범주형 변수의 각 범주를 고유한 정수로 변환하는 </w:t>
            </w:r>
            <w:r>
              <w:rPr>
                <w:shd w:val="clear"/>
              </w:rPr>
              <w:t xml:space="preserve">기법입니다. 각 범주는 0부터 시작하는 정수로 매핑됩니다.</w:t>
            </w:r>
          </w:p>
          <w:p>
            <w:pPr>
              <w:pStyle w:val="PO166"/>
              <w:ind w:left="660" w:firstLine="0" w:leftChars="300"/>
              <w:rPr>
                <w:shd w:val="clear"/>
              </w:rPr>
            </w:pPr>
            <w:r>
              <w:rPr>
                <w:rStyle w:val="PO20"/>
                <w:shd w:val="clear"/>
              </w:rPr>
              <w:t>장점</w:t>
            </w:r>
          </w:p>
          <w:p>
            <w:pPr>
              <w:numPr>
                <w:numId w:val="17"/>
                <w:ilvl w:val="0"/>
              </w:numPr>
              <w:spacing w:before="100" w:beforeAutospacing="1" w:after="100" w:afterAutospacing="1"/>
              <w:ind w:left="1381" w:firstLine="0" w:leftChars="4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간단하고 빠름</w:t>
            </w:r>
            <w:r>
              <w:rPr>
                <w:shd w:val="clear"/>
              </w:rPr>
              <w:t xml:space="preserve">: 구현이 매우 간단하고 빠릅니다.</w:t>
            </w:r>
          </w:p>
          <w:p>
            <w:pPr>
              <w:numPr>
                <w:numId w:val="17"/>
                <w:ilvl w:val="0"/>
              </w:numPr>
              <w:spacing w:before="100" w:beforeAutospacing="1" w:after="100" w:afterAutospacing="1"/>
              <w:ind w:left="1381" w:firstLine="0" w:leftChars="4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메모리 효율성</w:t>
            </w:r>
            <w:r>
              <w:rPr>
                <w:shd w:val="clear"/>
              </w:rPr>
              <w:t xml:space="preserve">: 비교적 적은 메모리를 사용합니다.</w:t>
            </w:r>
          </w:p>
          <w:p>
            <w:pPr>
              <w:pStyle w:val="PO166"/>
              <w:ind w:left="660" w:firstLine="0" w:leftChars="300"/>
              <w:rPr>
                <w:shd w:val="clear"/>
              </w:rPr>
            </w:pPr>
            <w:r>
              <w:rPr>
                <w:rStyle w:val="PO20"/>
                <w:shd w:val="clear"/>
              </w:rPr>
              <w:t>단점</w:t>
            </w:r>
          </w:p>
          <w:p>
            <w:pPr>
              <w:numPr>
                <w:numId w:val="18"/>
                <w:ilvl w:val="0"/>
              </w:numPr>
              <w:spacing w:before="100" w:beforeAutospacing="1" w:after="100" w:afterAutospacing="1"/>
              <w:ind w:left="1381" w:firstLine="0" w:leftChars="4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순서 정보 부여</w:t>
            </w:r>
            <w:r>
              <w:rPr>
                <w:shd w:val="clear"/>
              </w:rPr>
              <w:t xml:space="preserve">: 각 범주에 숫자를 할당하기 때문에, 모델이 이러한 순서 정보를 </w:t>
            </w:r>
            <w:r>
              <w:rPr>
                <w:shd w:val="clear"/>
              </w:rPr>
              <w:t xml:space="preserve">의미 있는 것으로 잘못 해석할 수 있습니다.</w:t>
            </w:r>
          </w:p>
          <w:p>
            <w:pPr>
              <w:numPr>
                <w:numId w:val="18"/>
                <w:ilvl w:val="0"/>
              </w:numPr>
              <w:spacing w:before="100" w:beforeAutospacing="1" w:after="100" w:afterAutospacing="1"/>
              <w:ind w:left="1381" w:firstLine="0" w:leftChars="4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고차원 데이터 처리 한계</w:t>
            </w:r>
            <w:r>
              <w:rPr>
                <w:shd w:val="clear"/>
              </w:rPr>
              <w:t xml:space="preserve">: 많은 범주를 가진 변수에 비효율적입니다.</w:t>
            </w:r>
          </w:p>
          <w:p>
            <w:pPr>
              <w:pStyle w:val="PO10"/>
              <w:numPr>
                <w:numId w:val="21"/>
                <w:ilvl w:val="0"/>
              </w:numPr>
              <w:rPr>
                <w:shd w:val="clear"/>
              </w:rPr>
            </w:pPr>
            <w:r>
              <w:rPr>
                <w:shd w:val="clear"/>
              </w:rPr>
              <w:t xml:space="preserve">1-5-2. Target Encoding</w:t>
            </w:r>
            <w:r>
              <w:rPr>
                <w:shd w:val="clear"/>
                <w:rFonts w:hint="eastAsia"/>
              </w:rPr>
              <w:t xml:space="preserve">: </w:t>
            </w:r>
            <w:r>
              <w:rPr>
                <w:shd w:val="clear"/>
              </w:rPr>
              <w:t xml:space="preserve">Target Encoding은 범주형 변수의 각 범주를 해당 범주의 타겟 </w:t>
            </w:r>
            <w:r>
              <w:rPr>
                <w:shd w:val="clear"/>
              </w:rPr>
              <w:t xml:space="preserve">값의 평균으로 변환하는 기법입니다. 이는 특정 범주가 타겟 변수와 어떤 관계를 가지</w:t>
            </w:r>
            <w:r>
              <w:rPr>
                <w:shd w:val="clear"/>
              </w:rPr>
              <w:t xml:space="preserve">는지 파악할 수 있도록 도와줍니다.</w:t>
            </w:r>
          </w:p>
          <w:p>
            <w:pPr>
              <w:pStyle w:val="PO166"/>
              <w:ind w:left="660" w:firstLine="0" w:leftChars="300"/>
              <w:rPr>
                <w:shd w:val="clear"/>
              </w:rPr>
            </w:pPr>
            <w:r>
              <w:rPr>
                <w:rStyle w:val="PO20"/>
                <w:shd w:val="clear"/>
              </w:rPr>
              <w:t>장점</w:t>
            </w:r>
          </w:p>
          <w:p>
            <w:pPr>
              <w:numPr>
                <w:numId w:val="19"/>
                <w:ilvl w:val="0"/>
              </w:numPr>
              <w:spacing w:before="100" w:beforeAutospacing="1" w:after="100" w:afterAutospacing="1"/>
              <w:ind w:left="1381" w:firstLine="0" w:leftChars="4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정보 보존</w:t>
            </w:r>
            <w:r>
              <w:rPr>
                <w:shd w:val="clear"/>
              </w:rPr>
              <w:t xml:space="preserve">: 범주와 타겟 변수 간의 관계를 잘 반영할 수 있습니다.</w:t>
            </w:r>
          </w:p>
          <w:p>
            <w:pPr>
              <w:numPr>
                <w:numId w:val="19"/>
                <w:ilvl w:val="0"/>
              </w:numPr>
              <w:spacing w:before="100" w:beforeAutospacing="1" w:after="100" w:afterAutospacing="1"/>
              <w:ind w:left="1381" w:firstLine="0" w:leftChars="4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고차원 데이터 처리</w:t>
            </w:r>
            <w:r>
              <w:rPr>
                <w:shd w:val="clear"/>
              </w:rPr>
              <w:t xml:space="preserve">: 많은 범주를 가진 변수에 효과적입니다.</w:t>
            </w:r>
          </w:p>
          <w:p>
            <w:pPr>
              <w:pStyle w:val="PO166"/>
              <w:ind w:left="660" w:firstLine="0" w:leftChars="300"/>
              <w:rPr>
                <w:shd w:val="clear"/>
              </w:rPr>
            </w:pPr>
            <w:r>
              <w:rPr>
                <w:rStyle w:val="PO20"/>
                <w:shd w:val="clear"/>
              </w:rPr>
              <w:t>단점</w:t>
            </w:r>
          </w:p>
          <w:p>
            <w:pPr>
              <w:numPr>
                <w:numId w:val="20"/>
                <w:ilvl w:val="0"/>
              </w:numPr>
              <w:spacing w:before="100" w:beforeAutospacing="1" w:after="100" w:afterAutospacing="1"/>
              <w:ind w:left="1381" w:firstLine="0" w:leftChars="4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데이터 누출</w:t>
            </w:r>
            <w:r>
              <w:rPr>
                <w:shd w:val="clear"/>
              </w:rPr>
              <w:t xml:space="preserve">: 잘못 사용할 경우, 타겟 변수의 정보를 학습 데이터에 누출시킬 수 </w:t>
            </w:r>
            <w:r>
              <w:rPr>
                <w:shd w:val="clear"/>
              </w:rPr>
              <w:t>있습니다.</w:t>
            </w:r>
          </w:p>
          <w:p>
            <w:pPr>
              <w:numPr>
                <w:numId w:val="20"/>
                <w:ilvl w:val="0"/>
              </w:numPr>
              <w:spacing w:before="100" w:beforeAutospacing="1" w:after="100" w:afterAutospacing="1"/>
              <w:ind w:left="1381" w:firstLine="0" w:leftChars="4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오버피팅</w:t>
            </w:r>
            <w:r>
              <w:rPr>
                <w:shd w:val="clear"/>
              </w:rPr>
              <w:t xml:space="preserve">: 특히 작은 데이터셋에서는 오버피팅의 위험이 있습니다.</w:t>
            </w:r>
          </w:p>
          <w:p>
            <w:pPr>
              <w:pStyle w:val="PO9"/>
              <w:rPr>
                <w:shd w:val="clear"/>
              </w:rPr>
            </w:pPr>
            <w:r>
              <w:rPr>
                <w:shd w:val="clear"/>
              </w:rPr>
              <w:t xml:space="preserve">Encoding 방법 적용 결과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범주형 데이터에 대해 Label Encoding과 Target Encoding을 각각 적용하여 모델의 </w:t>
            </w:r>
            <w:r>
              <w:rPr>
                <w:shd w:val="clear"/>
              </w:rPr>
              <w:t xml:space="preserve">성능을 평가한 결과는 다음과 같습니다: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Look w:val="0004A0" w:firstRow="1" w:lastRow="0" w:firstColumn="1" w:lastColumn="0" w:noHBand="0" w:noVBand="1"/>
              <w:tblLayout w:type="auto"/>
            </w:tblPr>
            <w:tblGrid>
              <w:gridCol w:w="2327"/>
              <w:gridCol w:w="2328"/>
              <w:gridCol w:w="2328"/>
              <w:gridCol w:w="2328"/>
            </w:tblGrid>
            <w:tr>
              <w:trPr/>
              <w:tc>
                <w:tcPr>
                  <w:tcW w:type="dxa" w:w="2327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인코딩 방법</w:t>
                  </w:r>
                </w:p>
              </w:tc>
              <w:tc>
                <w:tcPr>
                  <w:tcW w:type="dxa" w:w="2328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모델</w:t>
                  </w:r>
                </w:p>
              </w:tc>
              <w:tc>
                <w:tcPr>
                  <w:tcW w:type="dxa" w:w="2328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정확도 (Accuracy)</w:t>
                  </w:r>
                </w:p>
              </w:tc>
              <w:tc>
                <w:tcPr>
                  <w:tcW w:type="dxa" w:w="2328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F1-Score</w:t>
                  </w:r>
                </w:p>
              </w:tc>
            </w:tr>
            <w:tr>
              <w:trPr/>
              <w:tc>
                <w:tcPr>
                  <w:tcW w:type="dxa" w:w="2327"/>
                  <w:vAlign w:val="center"/>
                  <w:vMerge w:val="restart"/>
                </w:tcPr>
                <w:p>
                  <w:pPr>
                    <w:pStyle w:val="PO166"/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Label Encoding</w:t>
                  </w:r>
                </w:p>
              </w:tc>
              <w:tc>
                <w:tcPr>
                  <w:tcW w:type="dxa" w:w="2328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XGBoost</w:t>
                  </w:r>
                </w:p>
              </w:tc>
              <w:tc>
                <w:tcPr>
                  <w:tcW w:type="dxa" w:w="2328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0.6759</w:t>
                  </w:r>
                </w:p>
              </w:tc>
              <w:tc>
                <w:tcPr>
                  <w:tcW w:type="dxa" w:w="2328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0.3561</w:t>
                  </w:r>
                </w:p>
              </w:tc>
            </w:tr>
            <w:tr>
              <w:trPr/>
              <w:tc>
                <w:tcPr>
                  <w:tcW w:type="dxa" w:w="2327"/>
                  <w:vAlign w:val="center"/>
                  <w:vMerge/>
                </w:tcPr>
                <w:p/>
              </w:tc>
              <w:tc>
                <w:tcPr>
                  <w:tcW w:type="dxa" w:w="2328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LGBM</w:t>
                  </w:r>
                </w:p>
              </w:tc>
              <w:tc>
                <w:tcPr>
                  <w:tcW w:type="dxa" w:w="2328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0.6795</w:t>
                  </w:r>
                </w:p>
              </w:tc>
              <w:tc>
                <w:tcPr>
                  <w:tcW w:type="dxa" w:w="2328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0.3488</w:t>
                  </w:r>
                </w:p>
              </w:tc>
            </w:tr>
            <w:tr>
              <w:trPr/>
              <w:tc>
                <w:tcPr>
                  <w:tcW w:type="dxa" w:w="2327"/>
                  <w:vAlign w:val="center"/>
                  <w:vMerge w:val="restart"/>
                </w:tcPr>
                <w:p>
                  <w:pPr>
                    <w:pStyle w:val="PO166"/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Target Encoding</w:t>
                  </w:r>
                </w:p>
              </w:tc>
              <w:tc>
                <w:tcPr>
                  <w:tcW w:type="dxa" w:w="2328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XGBoost</w:t>
                  </w:r>
                </w:p>
              </w:tc>
              <w:tc>
                <w:tcPr>
                  <w:tcW w:type="dxa" w:w="2328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0.6759</w:t>
                  </w:r>
                </w:p>
              </w:tc>
              <w:tc>
                <w:tcPr>
                  <w:tcW w:type="dxa" w:w="2328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0.3561</w:t>
                  </w:r>
                </w:p>
              </w:tc>
            </w:tr>
            <w:tr>
              <w:trPr/>
              <w:tc>
                <w:tcPr>
                  <w:tcW w:type="dxa" w:w="2327"/>
                  <w:vAlign w:val="center"/>
                  <w:vMerge/>
                </w:tcPr>
                <w:p/>
              </w:tc>
              <w:tc>
                <w:tcPr>
                  <w:tcW w:type="dxa" w:w="2328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LGBM</w:t>
                  </w:r>
                </w:p>
              </w:tc>
              <w:tc>
                <w:tcPr>
                  <w:tcW w:type="dxa" w:w="2328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0.6759</w:t>
                  </w:r>
                </w:p>
              </w:tc>
              <w:tc>
                <w:tcPr>
                  <w:tcW w:type="dxa" w:w="2328"/>
                  <w:vAlign w:val="top"/>
                </w:tcPr>
                <w:p>
                  <w:pPr>
                    <w:pStyle w:val="PO166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0.3488</w:t>
                  </w:r>
                </w:p>
              </w:tc>
            </w:tr>
          </w:tbl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두 가지 인코딩 방법을 적용한 결과, 성능 차이</w:t>
            </w:r>
            <w:r>
              <w:rPr>
                <w:shd w:val="clear"/>
                <w:rFonts w:hint="eastAsia"/>
              </w:rPr>
              <w:t xml:space="preserve">가 발생하지 않았습니다</w:t>
            </w:r>
            <w:r>
              <w:rPr>
                <w:shd w:val="clear"/>
              </w:rPr>
              <w:t xml:space="preserve">. </w:t>
            </w:r>
            <w:r>
              <w:rPr>
                <w:shd w:val="clear"/>
                <w:rFonts w:hint="eastAsia"/>
              </w:rPr>
              <w:t>최종적으로</w:t>
            </w:r>
            <w:r>
              <w:rPr>
                <w:shd w:val="clear"/>
              </w:rPr>
              <w:t xml:space="preserve"> </w:t>
            </w:r>
            <w:r>
              <w:rPr>
                <w:shd w:val="clear"/>
              </w:rPr>
              <w:t xml:space="preserve">메모리 효율성과 데이터 누수를 방지하기 위해 Label Encoding을 적용하였습니다.</w:t>
            </w:r>
            <w:r>
              <w:rPr>
                <w:shd w:val="clear"/>
                <w:rFonts w:hint="eastAsia"/>
              </w:rPr>
              <w:t xml:space="preserve"> </w:t>
            </w:r>
            <w:r>
              <w:rPr>
                <w:shd w:val="clear"/>
              </w:rPr>
              <w:t xml:space="preserve">Label </w:t>
            </w:r>
            <w:r>
              <w:rPr>
                <w:shd w:val="clear"/>
              </w:rPr>
              <w:t xml:space="preserve">Encoding을 적용함으로써 범주형 데이터의 처리가 간단해지고, 데이터 누출의 위험이 </w:t>
            </w:r>
            <w:r>
              <w:rPr>
                <w:shd w:val="clear"/>
              </w:rPr>
              <w:t>줄어들었습니다.</w:t>
            </w:r>
          </w:p>
          <w:p>
            <w:pPr>
              <w:pStyle w:val="PO166"/>
              <w:numPr>
                <w:numId w:val="5"/>
                <w:ilvl w:val="0"/>
              </w:numPr>
              <w:rPr>
                <w:rStyle w:val="PO20"/>
                <w:b w:val="0"/>
                <w:shd w:val="clear"/>
              </w:rPr>
            </w:pPr>
            <w:r>
              <w:rPr>
                <w:rStyle w:val="PO20"/>
                <w:shd w:val="clear"/>
              </w:rPr>
              <w:t xml:space="preserve">Feature Importance</w:t>
            </w:r>
            <w:r>
              <w:rPr>
                <w:rStyle w:val="PO20"/>
                <w:shd w:val="clear"/>
                <w:rFonts w:hint="eastAsia"/>
              </w:rPr>
              <w:t>:</w:t>
            </w:r>
            <w:r>
              <w:rPr>
                <w:rStyle w:val="PO20"/>
                <w:shd w:val="clear"/>
              </w:rPr>
              <w:t xml:space="preserve"> </w:t>
            </w:r>
            <w:r>
              <w:rPr>
                <w:rStyle w:val="PO20"/>
                <w:b w:val="0"/>
                <w:shd w:val="clear"/>
              </w:rPr>
              <w:t xml:space="preserve">Feature importance는 머신 러닝 모델에서 각 피처(특성, </w:t>
            </w:r>
            <w:r>
              <w:rPr>
                <w:rStyle w:val="PO20"/>
                <w:b w:val="0"/>
                <w:shd w:val="clear"/>
              </w:rPr>
              <w:t xml:space="preserve">변수)가 모델의 예측 성능에 얼마나 기여하는지를 나타내는 지표입니다. 이를 통해 </w:t>
            </w:r>
            <w:r>
              <w:rPr>
                <w:rStyle w:val="PO20"/>
                <w:b w:val="0"/>
                <w:shd w:val="clear"/>
              </w:rPr>
              <w:t xml:space="preserve">모델 해석 가능성을 높이고, 중요한 피처를 파악하여 모델 성능을 개선하거나 차원 </w:t>
            </w:r>
            <w:r>
              <w:rPr>
                <w:rStyle w:val="PO20"/>
                <w:b w:val="0"/>
                <w:shd w:val="clear"/>
              </w:rPr>
              <w:t xml:space="preserve">축소를 수행하는 데 유용합니다.</w:t>
            </w:r>
          </w:p>
          <w:p>
            <w:pPr>
              <w:pStyle w:val="PO166"/>
              <w:ind w:left="440" w:firstLine="0" w:leftChars="200"/>
              <w:rPr>
                <w:rStyle w:val="PO20"/>
                <w:b w:val="0"/>
                <w:shd w:val="clear"/>
              </w:rPr>
            </w:pPr>
            <w:r>
              <w:rPr>
                <w:rStyle w:val="PO20"/>
                <w:b w:val="0"/>
                <w:shd w:val="clear"/>
                <w:rFonts w:hint="eastAsia"/>
              </w:rPr>
              <w:t xml:space="preserve">다음 표는 LGBM 모델의 피처 중요도를 나타내고 있습니다. </w:t>
            </w:r>
          </w:p>
          <w:p>
            <w:pPr>
              <w:pStyle w:val="PO166"/>
              <w:ind w:left="660" w:firstLine="0" w:leftChars="300"/>
              <w:rPr>
                <w:rStyle w:val="PO20"/>
                <w:b w:val="0"/>
                <w:shd w:val="clear"/>
              </w:rPr>
            </w:pPr>
            <w:r>
              <w:rPr>
                <w:sz w:val="20"/>
              </w:rPr>
              <w:drawing>
                <wp:inline distT="0" distB="0" distL="0" distR="0">
                  <wp:extent cx="3629660" cy="4944745"/>
                  <wp:effectExtent l="0" t="0" r="8890" b="8255"/>
                  <wp:docPr id="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/Users/vivid/AppData/Roaming/PolarisOffice/ETemp/9552_11243624/image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0295" cy="494538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166"/>
              <w:rPr>
                <w:shd w:val="clear"/>
                <w:lang w:eastAsia="ko-KR"/>
              </w:rPr>
            </w:pPr>
            <w:r>
              <w:rPr>
                <w:shd w:val="clear"/>
              </w:rPr>
              <w:t xml:space="preserve">가장 중요한 피처는 대표업종으로 나타났으며, 그 다음으로 중요한 피처들은 </w:t>
            </w:r>
            <w:r>
              <w:rPr>
                <w:shd w:val="clear"/>
              </w:rPr>
              <w:t xml:space="preserve">제조시설면적, 용지면적, 건축면적 등 공장 면적과 관련된 변수들이 차지하였습니다. </w:t>
            </w:r>
            <w:r>
              <w:rPr>
                <w:shd w:val="clear"/>
              </w:rPr>
              <w:t xml:space="preserve">직원 수와 관련된 피처들인 종업원합계, 남자종업원, 여자종업원도 중요한 변수로 </w:t>
            </w:r>
            <w:r>
              <w:rPr>
                <w:shd w:val="clear"/>
              </w:rPr>
              <w:t xml:space="preserve">나타났습니다. 그 외에도 지식산업센터명이 중요한 피처로 분석되었으며, 이는 </w:t>
            </w:r>
            <w:r>
              <w:rPr>
                <w:shd w:val="clear"/>
              </w:rPr>
              <w:t xml:space="preserve">산업집적지가 공장 부지 선정에 중요한 영향을 미친다는 점을 보여줍니다. 반면, </w:t>
            </w:r>
            <w:r>
              <w:rPr>
                <w:shd w:val="clear"/>
              </w:rPr>
              <w:t xml:space="preserve">등록구분, 보유구분 및 외국인 종업원 수와 관련된 피처들은 모델 성능에 큰 영향을 </w:t>
            </w:r>
            <w:r>
              <w:rPr>
                <w:shd w:val="clear"/>
              </w:rPr>
              <w:t xml:space="preserve">미치지 않는 것으로 나타났으며, 공장 규모(소기업, 중기업, 대기업)도 중요하지 않은 </w:t>
            </w:r>
            <w:r>
              <w:rPr>
                <w:shd w:val="clear"/>
              </w:rPr>
              <w:t xml:space="preserve">변수로 분석되었습니다.</w:t>
            </w:r>
          </w:p>
          <w:p>
            <w:pPr>
              <w:pStyle w:val="PO166"/>
              <w:rPr>
                <w:shd w:val="clear"/>
              </w:rPr>
            </w:pPr>
          </w:p>
          <w:p>
            <w:pPr>
              <w:pStyle w:val="PO166"/>
              <w:rPr>
                <w:shd w:val="clear"/>
                <w:lang w:eastAsia="ko-KR"/>
              </w:rPr>
            </w:pPr>
            <w:r>
              <w:rPr>
                <w:shd w:val="clear"/>
              </w:rPr>
              <w:t xml:space="preserve">모델이 중요하게 고려하는 피처들을 분석한 결과, 대표업종, 제조시설면적, 용지면적, </w:t>
            </w:r>
            <w:r>
              <w:rPr>
                <w:shd w:val="clear"/>
              </w:rPr>
              <w:t xml:space="preserve">건축면적, 부대시설면적, 종업원합계 순으로 '구'를 추천해주는 것으로 나타났습니다. </w:t>
            </w:r>
            <w:r>
              <w:rPr>
                <w:shd w:val="clear"/>
              </w:rPr>
              <w:t xml:space="preserve">이는 공장 데이터에 있어서 업종 선정이 가장 중요하였으며, 면적과 종업원 수가 그 </w:t>
            </w:r>
            <w:r>
              <w:rPr>
                <w:shd w:val="clear"/>
              </w:rPr>
              <w:t xml:space="preserve">다음으로 중요한 요소임을 보여줍니다. 따라서, 공장 부지 추천 모델은 주로 대표업종, </w:t>
            </w:r>
            <w:r>
              <w:rPr>
                <w:shd w:val="clear"/>
              </w:rPr>
              <w:t xml:space="preserve">공장 면적, 직원 수와 같은 변수들에 의해 결정된다고 할 수 있습니다.</w:t>
            </w:r>
          </w:p>
          <w:p>
            <w:pPr>
              <w:pStyle w:val="PO166"/>
              <w:rPr>
                <w:shd w:val="clear"/>
              </w:rPr>
            </w:pPr>
          </w:p>
          <w:p>
            <w:pPr>
              <w:pStyle w:val="PO9"/>
              <w:rPr>
                <w:b w:val="1"/>
                <w:shd w:val="clear"/>
              </w:rPr>
            </w:pPr>
            <w:r>
              <w:rPr>
                <w:b w:val="1"/>
                <w:shd w:val="clear"/>
              </w:rPr>
              <w:t xml:space="preserve">불필요한 피처 제거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Feature Importance 분석 결과를 참고하여 모델에 크게 영향을 미치지 않는 피처들을 </w:t>
            </w:r>
            <w:r>
              <w:rPr>
                <w:shd w:val="clear"/>
              </w:rPr>
              <w:t xml:space="preserve">제거하였습니다. 제거한 피처들은 다음과 같습니다:</w:t>
            </w:r>
          </w:p>
          <w:p>
            <w:pPr>
              <w:numPr>
                <w:numId w:val="23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용도지역</w:t>
            </w:r>
          </w:p>
          <w:p>
            <w:pPr>
              <w:numPr>
                <w:numId w:val="23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등록구분</w:t>
            </w:r>
          </w:p>
          <w:p>
            <w:pPr>
              <w:numPr>
                <w:numId w:val="23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지목</w:t>
            </w:r>
          </w:p>
          <w:p>
            <w:pPr>
              <w:numPr>
                <w:numId w:val="23"/>
                <w:ilvl w:val="0"/>
              </w:numPr>
              <w:spacing w:before="100" w:beforeAutospacing="1" w:after="100" w:afterAutospacing="1"/>
              <w:rPr>
                <w:rStyle w:val="PO20"/>
                <w:b w:val="0"/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보유구분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538" w:type="dxa"/>
              <w:tblLook w:val="0004A0" w:firstRow="1" w:lastRow="0" w:firstColumn="1" w:lastColumn="0" w:noHBand="0" w:noVBand="1"/>
              <w:tblLayout w:type="auto"/>
            </w:tblPr>
            <w:tblGrid>
              <w:gridCol w:w="1957"/>
              <w:gridCol w:w="2021"/>
              <w:gridCol w:w="1827"/>
            </w:tblGrid>
            <w:tr>
              <w:trPr/>
              <w:tc>
                <w:tcPr>
                  <w:tcW w:type="dxa" w:w="1957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 w:themeColor="text1"/>
                      <w:shd w:val="clear"/>
                      <w:rFonts w:asciiTheme="majorHAnsi" w:eastAsiaTheme="majorHAnsi" w:hAnsiTheme="majorHAnsi" w:cstheme="majorBidi"/>
                    </w:rPr>
                    <w:wordWrap w:val="1"/>
                    <w:widowControl w:val="1"/>
                    <w:autoSpaceDE w:val="1"/>
                    <w:autoSpaceDN w:val="1"/>
                  </w:pPr>
                </w:p>
              </w:tc>
              <w:tc>
                <w:tcPr>
                  <w:tcW w:type="dxa" w:w="2021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 w:themeColor="text1"/>
                      <w:shd w:val="clear"/>
                      <w:rFonts w:asciiTheme="majorHAnsi" w:eastAsiaTheme="majorHAnsi" w:hAnsiTheme="majorHAnsi" w:cstheme="majorBid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 w:themeColor="text1"/>
                      <w:shd w:val="clear"/>
                      <w:rFonts w:asciiTheme="majorHAnsi" w:eastAsiaTheme="majorHAnsi" w:hAnsiTheme="majorHAnsi" w:cstheme="majorBidi" w:hint="eastAsia"/>
                    </w:rPr>
                    <w:t>XGBOOST</w:t>
                  </w:r>
                </w:p>
              </w:tc>
              <w:tc>
                <w:tcPr>
                  <w:tcW w:type="dxa" w:w="1827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 w:themeColor="text1"/>
                      <w:shd w:val="clear"/>
                      <w:rFonts w:asciiTheme="majorHAnsi" w:eastAsiaTheme="majorHAnsi" w:hAnsiTheme="majorHAnsi" w:cstheme="majorBid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 w:themeColor="text1"/>
                      <w:shd w:val="clear"/>
                      <w:rFonts w:asciiTheme="majorHAnsi" w:eastAsiaTheme="majorHAnsi" w:hAnsiTheme="majorHAnsi" w:cstheme="majorBidi" w:hint="eastAsia"/>
                    </w:rPr>
                    <w:t>LGBM</w:t>
                  </w:r>
                </w:p>
              </w:tc>
            </w:tr>
            <w:tr>
              <w:trPr/>
              <w:tc>
                <w:tcPr>
                  <w:tcW w:type="dxa" w:w="1957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 w:themeColor="text1"/>
                      <w:shd w:val="clear"/>
                      <w:rFonts w:asciiTheme="majorHAnsi" w:eastAsiaTheme="majorHAnsi" w:hAnsiTheme="majorHAnsi" w:cstheme="majorBid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 w:themeColor="text1"/>
                      <w:shd w:val="clear"/>
                      <w:rFonts w:asciiTheme="majorHAnsi" w:eastAsiaTheme="majorHAnsi" w:hAnsiTheme="majorHAnsi" w:cstheme="majorBidi" w:hint="eastAsia"/>
                    </w:rPr>
                    <w:t>Accuracy</w:t>
                  </w:r>
                </w:p>
              </w:tc>
              <w:tc>
                <w:tcPr>
                  <w:tcW w:type="dxa" w:w="2021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 w:themeColor="text1"/>
                      <w:shd w:val="clear"/>
                      <w:rFonts w:asciiTheme="majorHAnsi" w:eastAsiaTheme="majorHAnsi" w:hAnsiTheme="majorHAnsi" w:cstheme="majorBid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 w:themeColor="text1"/>
                      <w:shd w:val="clear"/>
                      <w:rFonts w:asciiTheme="majorHAnsi" w:eastAsiaTheme="majorHAnsi" w:hAnsiTheme="majorHAnsi" w:cstheme="majorBidi" w:hint="eastAsia"/>
                    </w:rPr>
                    <w:t>0.6062</w:t>
                  </w:r>
                </w:p>
              </w:tc>
              <w:tc>
                <w:tcPr>
                  <w:tcW w:type="dxa" w:w="1827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 w:themeColor="text1"/>
                      <w:shd w:val="clear"/>
                      <w:rFonts w:asciiTheme="majorHAnsi" w:eastAsiaTheme="majorHAnsi" w:hAnsiTheme="majorHAnsi" w:cstheme="majorBid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 w:themeColor="text1"/>
                      <w:shd w:val="clear"/>
                      <w:rFonts w:asciiTheme="majorHAnsi" w:eastAsiaTheme="majorHAnsi" w:hAnsiTheme="majorHAnsi" w:cstheme="majorBidi" w:hint="eastAsia"/>
                    </w:rPr>
                    <w:t>0.2708</w:t>
                  </w:r>
                </w:p>
              </w:tc>
            </w:tr>
            <w:tr>
              <w:trPr/>
              <w:tc>
                <w:tcPr>
                  <w:tcW w:type="dxa" w:w="1957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 w:themeColor="text1"/>
                      <w:shd w:val="clear"/>
                      <w:rFonts w:asciiTheme="majorHAnsi" w:eastAsiaTheme="majorHAnsi" w:hAnsiTheme="majorHAnsi" w:cstheme="majorBid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 w:themeColor="text1"/>
                      <w:shd w:val="clear"/>
                      <w:rFonts w:asciiTheme="majorHAnsi" w:eastAsiaTheme="majorHAnsi" w:hAnsiTheme="majorHAnsi" w:cstheme="majorBidi" w:hint="eastAsia"/>
                    </w:rPr>
                    <w:t>F1-S</w:t>
                  </w:r>
                  <w:r>
                    <w:rPr>
                      <w:color w:val="000000" w:themeColor="text1"/>
                      <w:shd w:val="clear"/>
                      <w:rFonts w:asciiTheme="majorHAnsi" w:eastAsiaTheme="majorHAnsi" w:hAnsiTheme="majorHAnsi" w:cstheme="majorBidi"/>
                    </w:rPr>
                    <w:t>c</w:t>
                  </w:r>
                  <w:r>
                    <w:rPr>
                      <w:color w:val="000000" w:themeColor="text1"/>
                      <w:shd w:val="clear"/>
                      <w:rFonts w:asciiTheme="majorHAnsi" w:eastAsiaTheme="majorHAnsi" w:hAnsiTheme="majorHAnsi" w:cstheme="majorBidi" w:hint="eastAsia"/>
                    </w:rPr>
                    <w:t>ore</w:t>
                  </w:r>
                </w:p>
              </w:tc>
              <w:tc>
                <w:tcPr>
                  <w:tcW w:type="dxa" w:w="2021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 w:themeColor="text1"/>
                      <w:shd w:val="clear"/>
                      <w:rFonts w:asciiTheme="majorHAnsi" w:eastAsiaTheme="majorHAnsi" w:hAnsiTheme="majorHAnsi" w:cstheme="majorBid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 w:themeColor="text1"/>
                      <w:shd w:val="clear"/>
                      <w:rFonts w:asciiTheme="majorHAnsi" w:eastAsiaTheme="majorHAnsi" w:hAnsiTheme="majorHAnsi" w:cstheme="majorBidi" w:hint="eastAsia"/>
                    </w:rPr>
                    <w:t>0.6127</w:t>
                  </w:r>
                </w:p>
              </w:tc>
              <w:tc>
                <w:tcPr>
                  <w:tcW w:type="dxa" w:w="1827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 w:themeColor="text1"/>
                      <w:shd w:val="clear"/>
                      <w:rFonts w:asciiTheme="majorHAnsi" w:eastAsiaTheme="majorHAnsi" w:hAnsiTheme="majorHAnsi" w:cstheme="majorBid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 w:themeColor="text1"/>
                      <w:shd w:val="clear"/>
                      <w:rFonts w:asciiTheme="majorHAnsi" w:eastAsiaTheme="majorHAnsi" w:hAnsiTheme="majorHAnsi" w:cstheme="majorBidi" w:hint="eastAsia"/>
                    </w:rPr>
                    <w:t>0.2803</w:t>
                  </w:r>
                </w:p>
              </w:tc>
            </w:tr>
          </w:tbl>
          <w:p>
            <w:pPr>
              <w:pStyle w:val="PO166"/>
              <w:rPr>
                <w:shd w:val="clear"/>
                <w:lang w:eastAsia="ko-KR"/>
              </w:rPr>
            </w:pPr>
            <w:r>
              <w:rPr>
                <w:shd w:val="clear"/>
              </w:rPr>
              <w:t xml:space="preserve">제거한 피처들이 모델 성능에 미치는 영향이 크지 않음을 확인할 수 있었습니다. Tree </w:t>
            </w:r>
            <w:r>
              <w:rPr>
                <w:shd w:val="clear"/>
              </w:rPr>
              <w:t xml:space="preserve">모델의 특성상, 가지치기 과정에서 많은 피처들이 영향을 미칠 수 있지만, 중요하지 않은 </w:t>
            </w:r>
            <w:r>
              <w:rPr>
                <w:shd w:val="clear"/>
              </w:rPr>
              <w:t xml:space="preserve">피처들은 성능에 큰 영향을 주지 않는 것으로 나타났습니다.</w:t>
            </w:r>
          </w:p>
          <w:p>
            <w:pPr>
              <w:pStyle w:val="PO166"/>
              <w:rPr>
                <w:rStyle w:val="PO20"/>
                <w:b w:val="0"/>
                <w:shd w:val="clear"/>
              </w:rPr>
            </w:pPr>
          </w:p>
          <w:p>
            <w:pPr>
              <w:pStyle w:val="PO9"/>
              <w:rPr>
                <w:b w:val="1"/>
                <w:shd w:val="clear"/>
              </w:rPr>
            </w:pPr>
            <w:r>
              <w:rPr>
                <w:b w:val="1"/>
                <w:shd w:val="clear"/>
              </w:rPr>
              <w:t xml:space="preserve">추가 피처 제거 및 모델 성능 분석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Feature Importance를 통해 추가로 다음과 같은 피처들을 제거하고 모델 성능을 다시 </w:t>
            </w:r>
            <w:r>
              <w:rPr>
                <w:shd w:val="clear"/>
              </w:rPr>
              <w:t>평가하였습니다:</w:t>
            </w:r>
          </w:p>
          <w:p>
            <w:pPr>
              <w:numPr>
                <w:numId w:val="22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공장구분</w:t>
            </w:r>
          </w:p>
          <w:p>
            <w:pPr>
              <w:numPr>
                <w:numId w:val="22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설립구분</w:t>
            </w:r>
          </w:p>
          <w:p>
            <w:pPr>
              <w:numPr>
                <w:numId w:val="22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외국인남자종업원</w:t>
            </w:r>
          </w:p>
          <w:p>
            <w:pPr>
              <w:numPr>
                <w:numId w:val="22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외국인여자종업원</w:t>
            </w:r>
          </w:p>
          <w:p>
            <w:pPr>
              <w:numPr>
                <w:numId w:val="22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공장규모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538" w:type="dxa"/>
              <w:tblLook w:val="0004A0" w:firstRow="1" w:lastRow="0" w:firstColumn="1" w:lastColumn="0" w:noHBand="0" w:noVBand="1"/>
              <w:tblLayout w:type="auto"/>
            </w:tblPr>
            <w:tblGrid>
              <w:gridCol w:w="1957"/>
              <w:gridCol w:w="2021"/>
              <w:gridCol w:w="1827"/>
            </w:tblGrid>
            <w:tr>
              <w:trPr/>
              <w:tc>
                <w:tcPr>
                  <w:tcW w:type="dxa" w:w="1957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 w:themeColor="text1"/>
                      <w:shd w:val="clear"/>
                      <w:rFonts w:asciiTheme="majorHAnsi" w:eastAsiaTheme="majorHAnsi" w:hAnsiTheme="majorHAnsi" w:cstheme="majorBidi"/>
                    </w:rPr>
                    <w:wordWrap w:val="1"/>
                    <w:widowControl w:val="1"/>
                    <w:autoSpaceDE w:val="1"/>
                    <w:autoSpaceDN w:val="1"/>
                  </w:pPr>
                </w:p>
              </w:tc>
              <w:tc>
                <w:tcPr>
                  <w:tcW w:type="dxa" w:w="2021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 w:themeColor="text1"/>
                      <w:shd w:val="clear"/>
                      <w:rFonts w:asciiTheme="majorHAnsi" w:eastAsiaTheme="majorHAnsi" w:hAnsiTheme="majorHAnsi" w:cstheme="majorBid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 w:themeColor="text1"/>
                      <w:shd w:val="clear"/>
                      <w:rFonts w:asciiTheme="majorHAnsi" w:eastAsiaTheme="majorHAnsi" w:hAnsiTheme="majorHAnsi" w:cstheme="majorBidi" w:hint="eastAsia"/>
                    </w:rPr>
                    <w:t>XGBOOST</w:t>
                  </w:r>
                </w:p>
              </w:tc>
              <w:tc>
                <w:tcPr>
                  <w:tcW w:type="dxa" w:w="1827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 w:themeColor="text1"/>
                      <w:shd w:val="clear"/>
                      <w:rFonts w:asciiTheme="majorHAnsi" w:eastAsiaTheme="majorHAnsi" w:hAnsiTheme="majorHAnsi" w:cstheme="majorBid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 w:themeColor="text1"/>
                      <w:shd w:val="clear"/>
                      <w:rFonts w:asciiTheme="majorHAnsi" w:eastAsiaTheme="majorHAnsi" w:hAnsiTheme="majorHAnsi" w:cstheme="majorBidi" w:hint="eastAsia"/>
                    </w:rPr>
                    <w:t>LGBM</w:t>
                  </w:r>
                </w:p>
              </w:tc>
            </w:tr>
            <w:tr>
              <w:trPr/>
              <w:tc>
                <w:tcPr>
                  <w:tcW w:type="dxa" w:w="1957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 w:themeColor="text1"/>
                      <w:shd w:val="clear"/>
                      <w:rFonts w:asciiTheme="majorHAnsi" w:eastAsiaTheme="majorHAnsi" w:hAnsiTheme="majorHAnsi" w:cstheme="majorBid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 w:themeColor="text1"/>
                      <w:shd w:val="clear"/>
                      <w:rFonts w:asciiTheme="majorHAnsi" w:eastAsiaTheme="majorHAnsi" w:hAnsiTheme="majorHAnsi" w:cstheme="majorBidi" w:hint="eastAsia"/>
                    </w:rPr>
                    <w:t>Accuracy</w:t>
                  </w:r>
                </w:p>
              </w:tc>
              <w:tc>
                <w:tcPr>
                  <w:tcW w:type="dxa" w:w="2021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 w:themeColor="text1"/>
                      <w:shd w:val="clear"/>
                      <w:rFonts w:asciiTheme="majorHAnsi" w:eastAsiaTheme="majorHAnsi" w:hAnsiTheme="majorHAnsi" w:cstheme="majorBid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 w:themeColor="text1"/>
                      <w:shd w:val="clear"/>
                      <w:rFonts w:asciiTheme="majorHAnsi" w:eastAsiaTheme="majorHAnsi" w:hAnsiTheme="majorHAnsi" w:cstheme="majorBidi" w:hint="eastAsia"/>
                    </w:rPr>
                    <w:t>0.5880</w:t>
                  </w:r>
                </w:p>
              </w:tc>
              <w:tc>
                <w:tcPr>
                  <w:tcW w:type="dxa" w:w="1827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 w:themeColor="text1"/>
                      <w:shd w:val="clear"/>
                      <w:rFonts w:asciiTheme="majorHAnsi" w:eastAsiaTheme="majorHAnsi" w:hAnsiTheme="majorHAnsi" w:cstheme="majorBid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 w:themeColor="text1"/>
                      <w:shd w:val="clear"/>
                      <w:rFonts w:asciiTheme="majorHAnsi" w:eastAsiaTheme="majorHAnsi" w:hAnsiTheme="majorHAnsi" w:cstheme="majorBidi" w:hint="eastAsia"/>
                    </w:rPr>
                    <w:t>0.2587</w:t>
                  </w:r>
                </w:p>
              </w:tc>
            </w:tr>
            <w:tr>
              <w:trPr/>
              <w:tc>
                <w:tcPr>
                  <w:tcW w:type="dxa" w:w="1957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 w:themeColor="text1"/>
                      <w:shd w:val="clear"/>
                      <w:rFonts w:asciiTheme="majorHAnsi" w:eastAsiaTheme="majorHAnsi" w:hAnsiTheme="majorHAnsi" w:cstheme="majorBid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 w:themeColor="text1"/>
                      <w:shd w:val="clear"/>
                      <w:rFonts w:asciiTheme="majorHAnsi" w:eastAsiaTheme="majorHAnsi" w:hAnsiTheme="majorHAnsi" w:cstheme="majorBidi" w:hint="eastAsia"/>
                    </w:rPr>
                    <w:t>F1-S</w:t>
                  </w:r>
                  <w:r>
                    <w:rPr>
                      <w:color w:val="000000" w:themeColor="text1"/>
                      <w:shd w:val="clear"/>
                      <w:rFonts w:asciiTheme="majorHAnsi" w:eastAsiaTheme="majorHAnsi" w:hAnsiTheme="majorHAnsi" w:cstheme="majorBidi"/>
                    </w:rPr>
                    <w:t>c</w:t>
                  </w:r>
                  <w:r>
                    <w:rPr>
                      <w:color w:val="000000" w:themeColor="text1"/>
                      <w:shd w:val="clear"/>
                      <w:rFonts w:asciiTheme="majorHAnsi" w:eastAsiaTheme="majorHAnsi" w:hAnsiTheme="majorHAnsi" w:cstheme="majorBidi" w:hint="eastAsia"/>
                    </w:rPr>
                    <w:t>ore</w:t>
                  </w:r>
                </w:p>
              </w:tc>
              <w:tc>
                <w:tcPr>
                  <w:tcW w:type="dxa" w:w="2021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 w:themeColor="text1"/>
                      <w:shd w:val="clear"/>
                      <w:rFonts w:asciiTheme="majorHAnsi" w:eastAsiaTheme="majorHAnsi" w:hAnsiTheme="majorHAnsi" w:cstheme="majorBid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 w:themeColor="text1"/>
                      <w:shd w:val="clear"/>
                      <w:rFonts w:asciiTheme="majorHAnsi" w:eastAsiaTheme="majorHAnsi" w:hAnsiTheme="majorHAnsi" w:cstheme="majorBidi" w:hint="eastAsia"/>
                    </w:rPr>
                    <w:t>0.5966</w:t>
                  </w:r>
                </w:p>
              </w:tc>
              <w:tc>
                <w:tcPr>
                  <w:tcW w:type="dxa" w:w="1827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 w:themeColor="text1"/>
                      <w:shd w:val="clear"/>
                      <w:rFonts w:asciiTheme="majorHAnsi" w:eastAsiaTheme="majorHAnsi" w:hAnsiTheme="majorHAnsi" w:cstheme="majorBid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 w:themeColor="text1"/>
                      <w:shd w:val="clear"/>
                      <w:rFonts w:asciiTheme="majorHAnsi" w:eastAsiaTheme="majorHAnsi" w:hAnsiTheme="majorHAnsi" w:cstheme="majorBidi" w:hint="eastAsia"/>
                    </w:rPr>
                    <w:t>0.2678</w:t>
                  </w:r>
                </w:p>
              </w:tc>
            </w:tr>
          </w:tbl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칼럼을 제거할수록 모델의 성능이 낮아지는 것을 확인할 수 있었습니다. 이를 통해 </w:t>
            </w:r>
            <w:r>
              <w:rPr>
                <w:shd w:val="clear"/>
              </w:rPr>
              <w:t xml:space="preserve">Feature Importance가 모델에 큰 영향을 미치지 않더라도, 세부적으로 나눠지는 </w:t>
            </w:r>
            <w:r>
              <w:rPr>
                <w:shd w:val="clear"/>
              </w:rPr>
              <w:t xml:space="preserve">부분에서 중요한 역할을 한다고 판단하였습니다. 또한, 칼럼 삭제를 통해 정확도를 </w:t>
            </w:r>
            <w:r>
              <w:rPr>
                <w:shd w:val="clear"/>
              </w:rPr>
              <w:t xml:space="preserve">향상시키는 방법에는 한계가 있다는 결론에 도달하였습니다.</w:t>
            </w:r>
          </w:p>
          <w:p>
            <w:pPr>
              <w:pStyle w:val="PO166"/>
              <w:numPr>
                <w:numId w:val="5"/>
                <w:ilvl w:val="0"/>
              </w:numPr>
              <w:rPr>
                <w:rStyle w:val="PO20"/>
                <w:shd w:val="clear"/>
              </w:rPr>
            </w:pPr>
            <w:r>
              <w:rPr>
                <w:rStyle w:val="PO20"/>
                <w:shd w:val="clear"/>
              </w:rPr>
              <w:t xml:space="preserve">이상치 처리</w:t>
            </w:r>
          </w:p>
          <w:p>
            <w:pPr>
              <w:pStyle w:val="PO10"/>
              <w:numPr>
                <w:numId w:val="6"/>
                <w:ilvl w:val="1"/>
              </w:numPr>
              <w:rPr>
                <w:shd w:val="clear"/>
              </w:rPr>
            </w:pPr>
            <w:r>
              <w:rPr>
                <w:shd w:val="clear"/>
              </w:rPr>
              <w:t>IQR</w:t>
            </w:r>
            <w:r>
              <w:rPr>
                <w:shd w:val="clear"/>
                <w:rFonts w:hint="eastAsia"/>
              </w:rPr>
              <w:t xml:space="preserve">: </w:t>
            </w:r>
            <w:r>
              <w:rPr>
                <w:shd w:val="clear"/>
              </w:rPr>
              <w:t xml:space="preserve">IQR(Interquartile Range)은 사분위수 간 범위를 이용하여 이상치를 탐지하는 방법입</w:t>
            </w:r>
            <w:r>
              <w:rPr>
                <w:shd w:val="clear"/>
              </w:rPr>
              <w:t xml:space="preserve">니다. IQR은 데이터의 중앙 50%의 범위를 나타내며, 이를 통해 이상치를 효과적으로 탐</w:t>
            </w:r>
            <w:r>
              <w:rPr>
                <w:shd w:val="clear"/>
              </w:rPr>
              <w:t xml:space="preserve">지할 수 있습니다.</w:t>
            </w:r>
          </w:p>
          <w:p>
            <w:pPr>
              <w:numPr>
                <w:numId w:val="24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사분위수 계산</w:t>
            </w:r>
            <w:r>
              <w:rPr>
                <w:shd w:val="clear"/>
              </w:rPr>
              <w:t>:</w:t>
            </w:r>
          </w:p>
          <w:p>
            <w:pPr>
              <w:numPr>
                <w:numId w:val="24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Q1 (1사분위수): 데이터의 25번째 백분위수</w:t>
            </w:r>
          </w:p>
          <w:p>
            <w:pPr>
              <w:numPr>
                <w:numId w:val="24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Q3 (3사분위수): 데이터의 75번째 백분위수</w:t>
            </w:r>
          </w:p>
          <w:p>
            <w:pPr>
              <w:numPr>
                <w:numId w:val="24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IQR 계산</w:t>
            </w:r>
            <w:r>
              <w:rPr>
                <w:shd w:val="clear"/>
              </w:rPr>
              <w:t>:</w:t>
            </w:r>
          </w:p>
          <w:p>
            <w:pPr>
              <w:numPr>
                <w:numId w:val="24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IQR = Q3 - Q1</w:t>
            </w:r>
          </w:p>
          <w:p>
            <w:pPr>
              <w:numPr>
                <w:numId w:val="24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이상치 경계 설정</w:t>
            </w:r>
            <w:r>
              <w:rPr>
                <w:shd w:val="clear"/>
              </w:rPr>
              <w:t>:</w:t>
            </w:r>
          </w:p>
          <w:p>
            <w:pPr>
              <w:numPr>
                <w:numId w:val="24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하한 경계: Q1 - 1.5 × IQR</w:t>
            </w:r>
          </w:p>
          <w:p>
            <w:pPr>
              <w:numPr>
                <w:numId w:val="24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상한 경계: Q3 + 1.5 × IQR</w:t>
            </w:r>
          </w:p>
          <w:p>
            <w:pPr>
              <w:numPr>
                <w:numId w:val="24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이상치 탐지</w:t>
            </w:r>
            <w:r>
              <w:rPr>
                <w:shd w:val="clear"/>
              </w:rPr>
              <w:t>:</w:t>
            </w:r>
          </w:p>
          <w:p>
            <w:pPr>
              <w:numPr>
                <w:numId w:val="24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데이터가 하한 경계보다 작거나 상한 경계보다 큰 값은 이상치로 간주합니다.</w:t>
            </w:r>
          </w:p>
          <w:p>
            <w:pPr>
              <w:pStyle w:val="PO10"/>
              <w:numPr>
                <w:numId w:val="6"/>
                <w:ilvl w:val="1"/>
              </w:numPr>
              <w:rPr>
                <w:shd w:val="clear"/>
              </w:rPr>
            </w:pPr>
            <w:r>
              <w:rPr>
                <w:shd w:val="clear"/>
              </w:rPr>
              <w:t>UNIFY</w:t>
            </w:r>
            <w:r>
              <w:rPr>
                <w:shd w:val="clear"/>
                <w:rFonts w:hint="eastAsia"/>
              </w:rPr>
              <w:t xml:space="preserve">: </w:t>
            </w:r>
            <w:r>
              <w:rPr>
                <w:shd w:val="clear"/>
              </w:rPr>
              <w:t xml:space="preserve">UNIFY 방법은 이상치를 탐지한 후, 특정 값으로 치환하여 이상치를 처리하는 방</w:t>
            </w:r>
            <w:r>
              <w:rPr>
                <w:shd w:val="clear"/>
              </w:rPr>
              <w:t xml:space="preserve">법입니다. 이는 데이터의 일관성을 유지하고, 모델의 성능을 안정화하는 데 도움이 됩니</w:t>
            </w:r>
            <w:r>
              <w:rPr>
                <w:shd w:val="clear"/>
              </w:rPr>
              <w:t xml:space="preserve">다. 일반적으로 이상치는 평균, 중앙값 또는 특정 값으로 대체합니다.</w:t>
            </w:r>
          </w:p>
          <w:p>
            <w:pPr>
              <w:pStyle w:val="PO166"/>
              <w:rPr>
                <w:shd w:val="clear"/>
                <w:lang w:eastAsia="ko-KR"/>
              </w:rPr>
            </w:pPr>
            <w:r>
              <w:rPr>
                <w:shd w:val="clear"/>
              </w:rPr>
              <w:t xml:space="preserve">위 방법들을 통해 모든 경우의 수에 대해 이상치를 제거 및 변경하면서 정확도와 F1 </w:t>
            </w:r>
            <w:r>
              <w:rPr>
                <w:shd w:val="clear"/>
              </w:rPr>
              <w:t xml:space="preserve">스코어를 측정하였습니다. 적용 순서는 Feature Importance의 순서로 진행하였습니다.</w:t>
            </w:r>
          </w:p>
          <w:p>
            <w:pPr>
              <w:pStyle w:val="PO166"/>
              <w:rPr>
                <w:shd w:val="clear"/>
              </w:rPr>
            </w:pPr>
          </w:p>
          <w:p>
            <w:pPr>
              <w:pStyle w:val="PO8"/>
              <w:rPr>
                <w:b w:val="1"/>
                <w:shd w:val="clear"/>
              </w:rPr>
            </w:pPr>
            <w:r>
              <w:rPr>
                <w:b w:val="1"/>
                <w:shd w:val="clear"/>
              </w:rPr>
              <w:t xml:space="preserve">이상치 처리 적용 결과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다양한 경우의 수로 IQR과 UNIFY 방법을 적용하여 정확도와 F1 스코어를 </w:t>
            </w:r>
            <w:r>
              <w:rPr>
                <w:shd w:val="clear"/>
              </w:rPr>
              <w:t xml:space="preserve">측정하였습니다. 적용 순서는 Feature Importance의 순서로 진행되었습니다.</w:t>
            </w:r>
          </w:p>
          <w:p>
            <w:pPr>
              <w:pStyle w:val="PO26"/>
              <w:numPr>
                <w:numId w:val="25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제조시설면적</w:t>
            </w:r>
          </w:p>
          <w:p>
            <w:pPr>
              <w:jc w:val="both"/>
              <w:spacing w:lineRule="auto" w:line="335" w:after="0"/>
              <w:ind w:left="277" w:firstLine="0" w:leftChars="126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2103755"/>
                  <wp:effectExtent l="0" t="0" r="2540" b="0"/>
                  <wp:docPr id="23" name="그림 1" descr="라인, 도표, 스크린샷, 직사각형이(가) 표시된 사진  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/Users/vivid/AppData/Roaming/PolarisOffice/ETemp/9552_11243624/image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10439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제조시설면적 데이터는 대부분이 작은 값에 몰려 있으며, 극단적인 이상치들이 존재합니다</w:t>
            </w:r>
            <w:r>
              <w:rPr>
                <w:shd w:val="clear"/>
                <w:rFonts w:hint="eastAsia"/>
              </w:rPr>
              <w:t>.</w:t>
            </w: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[IQR]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440" w:type="dxa"/>
              <w:tblLook w:val="0004A0" w:firstRow="1" w:lastRow="0" w:firstColumn="1" w:lastColumn="0" w:noHBand="0" w:noVBand="1"/>
              <w:tblLayout w:type="auto"/>
            </w:tblPr>
            <w:tblGrid>
              <w:gridCol w:w="1774"/>
              <w:gridCol w:w="1774"/>
              <w:gridCol w:w="1774"/>
              <w:gridCol w:w="1774"/>
              <w:gridCol w:w="1775"/>
            </w:tblGrid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</w:p>
              </w:tc>
              <w:tc>
                <w:tcPr>
                  <w:tcW w:type="dxa" w:w="3548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Accuracy</w:t>
                  </w:r>
                </w:p>
              </w:tc>
              <w:tc>
                <w:tcPr>
                  <w:tcW w:type="dxa" w:w="3549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F1-Score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IQR 범위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0.1 ~ 0.90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0.6628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0.6670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0.3328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0.3328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0.1 ~ 0.95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0.6520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0.6679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0.3255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0.3269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0.05 ~ 0.90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0.6615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0.6719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0.3317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0.3497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0.05 ~ 0.85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0.6757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0.6767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0.3247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0.3133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0.05 ~ 0.80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0.6397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0.6419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0.3239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0.3215</w:t>
                  </w:r>
                </w:p>
              </w:tc>
            </w:tr>
          </w:tbl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[UNIFY]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440" w:type="dxa"/>
              <w:tblLook w:val="0004A0" w:firstRow="1" w:lastRow="0" w:firstColumn="1" w:lastColumn="0" w:noHBand="0" w:noVBand="1"/>
              <w:tblLayout w:type="auto"/>
            </w:tblPr>
            <w:tblGrid>
              <w:gridCol w:w="1774"/>
              <w:gridCol w:w="1774"/>
              <w:gridCol w:w="1774"/>
              <w:gridCol w:w="1774"/>
              <w:gridCol w:w="1775"/>
            </w:tblGrid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</w:p>
              </w:tc>
              <w:tc>
                <w:tcPr>
                  <w:tcW w:type="dxa" w:w="3548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Accuracy</w:t>
                  </w:r>
                </w:p>
              </w:tc>
              <w:tc>
                <w:tcPr>
                  <w:tcW w:type="dxa" w:w="3549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F1-Score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UNIFY 범위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50000이상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0.6620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0.6665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0.3202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0.3234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40000 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0.6620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0.6665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0.3202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0.3234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28000이상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0.6620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0.6665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0.3202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0.3234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16000이상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0.6604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0.6665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0.3219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0.3234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10000이상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0.6594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0.6665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0.3152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0.3234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6300이상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0.6660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0.6675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0.3273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0.3211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5300이상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0.6620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0.6675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0.3210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0.3211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3000이상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0.6630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0.3200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0.3278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2000이상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0.6645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0.6670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0.3235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0.3302</w:t>
                  </w:r>
                </w:p>
              </w:tc>
            </w:tr>
          </w:tbl>
          <w:p>
            <w:p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</w:p>
          <w:p>
            <w:pPr>
              <w:pStyle w:val="PO26"/>
              <w:numPr>
                <w:numId w:val="25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용지면적</w:t>
            </w:r>
          </w:p>
          <w:p>
            <w:p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2077085"/>
                  <wp:effectExtent l="0" t="0" r="2540" b="0"/>
                  <wp:docPr id="26" name="그림 1" descr="도표, 라인, 텍스트, 스크린샷이(가) 표시된 사진  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/Users/vivid/AppData/Roaming/PolarisOffice/ETemp/9552_11243624/image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07772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hint="eastAsia"/>
              </w:rPr>
              <w:t>용지면적</w:t>
            </w:r>
            <w:r>
              <w:rPr>
                <w:shd w:val="clear"/>
              </w:rPr>
              <w:t xml:space="preserve"> 데이터는 대부분이 작은 값에 몰려 있으며, </w:t>
            </w:r>
            <w:r>
              <w:rPr>
                <w:shd w:val="clear"/>
                <w:rFonts w:hint="eastAsia"/>
              </w:rPr>
              <w:t xml:space="preserve">극단적인 이상치들이 많이 존재하지는 </w:t>
            </w:r>
            <w:r>
              <w:rPr>
                <w:shd w:val="clear"/>
                <w:rFonts w:hint="eastAsia"/>
              </w:rPr>
              <w:t xml:space="preserve">않으며, 대부분 40000 이하의 데이터로 존재하는 것을 볼 수 있습니다. </w:t>
            </w: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[IQR]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440" w:type="dxa"/>
              <w:tblLook w:val="0004A0" w:firstRow="1" w:lastRow="0" w:firstColumn="1" w:lastColumn="0" w:noHBand="0" w:noVBand="1"/>
              <w:tblLayout w:type="auto"/>
            </w:tblPr>
            <w:tblGrid>
              <w:gridCol w:w="1774"/>
              <w:gridCol w:w="1774"/>
              <w:gridCol w:w="1774"/>
              <w:gridCol w:w="1774"/>
              <w:gridCol w:w="1775"/>
            </w:tblGrid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</w:p>
              </w:tc>
              <w:tc>
                <w:tcPr>
                  <w:tcW w:type="dxa" w:w="3548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Accuracy</w:t>
                  </w:r>
                </w:p>
              </w:tc>
              <w:tc>
                <w:tcPr>
                  <w:tcW w:type="dxa" w:w="3549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F1-Score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IQR 범위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0.1 ~ 0.90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0.6647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0.6641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0.3152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0.3176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0.1 ~ 0.95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0.6460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0.6460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0.3186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0.3103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0.1 ~ 0.85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0.6685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0.6608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0.3244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0.3149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0.05 ~ 0.85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0.6685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0.6608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0.3244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0.3149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0.1 ~ 0.80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0.6176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0.6244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0.2886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0.3094</w:t>
                  </w:r>
                </w:p>
              </w:tc>
            </w:tr>
          </w:tbl>
          <w:p>
            <w:pPr>
              <w:jc w:val="both"/>
              <w:spacing w:lineRule="auto" w:line="335" w:after="0"/>
              <w:ind w:left="538" w:hanging="538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[UNIFY]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440" w:type="dxa"/>
              <w:tblLook w:val="0004A0" w:firstRow="1" w:lastRow="0" w:firstColumn="1" w:lastColumn="0" w:noHBand="0" w:noVBand="1"/>
              <w:tblLayout w:type="auto"/>
            </w:tblPr>
            <w:tblGrid>
              <w:gridCol w:w="1774"/>
              <w:gridCol w:w="1774"/>
              <w:gridCol w:w="1774"/>
              <w:gridCol w:w="1774"/>
              <w:gridCol w:w="1775"/>
            </w:tblGrid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</w:p>
              </w:tc>
              <w:tc>
                <w:tcPr>
                  <w:tcW w:type="dxa" w:w="3548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Accuracy</w:t>
                  </w:r>
                </w:p>
              </w:tc>
              <w:tc>
                <w:tcPr>
                  <w:tcW w:type="dxa" w:w="3549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F1-Score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UNIFY 범위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150000이상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0.6757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0.6767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0.3247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0.3133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40000 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0.6757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0.6767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0.3247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0.3133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30000 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0.6757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0.6767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0.3247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0.3133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16000이상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0.6704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0.6767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0.3132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0.3133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12000이상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0.6704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0.6767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0.3132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0.3133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8000이상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0.6704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0.6767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0.3132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0.3133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6000이상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0.6725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0.6767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0.3139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0.3133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5000이상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0.6741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0.6720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0.3212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0.3076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4000이상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0.6656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0.6720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0.3165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0.3097</w:t>
                  </w:r>
                </w:p>
              </w:tc>
            </w:tr>
          </w:tbl>
          <w:p>
            <w:pPr>
              <w:jc w:val="left"/>
              <w:spacing w:lineRule="auto" w:line="240" w:before="0" w:after="0"/>
              <w:ind w:left="440" w:right="0" w:firstLine="0"/>
              <w:rPr>
                <w:shd w:val="clear"/>
              </w:rPr>
            </w:pPr>
          </w:p>
          <w:p>
            <w:p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</w:p>
          <w:p>
            <w:pPr>
              <w:pStyle w:val="PO26"/>
              <w:numPr>
                <w:numId w:val="25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건축면적</w:t>
            </w:r>
          </w:p>
          <w:p>
            <w:p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2107565"/>
                  <wp:effectExtent l="0" t="0" r="2540" b="6985"/>
                  <wp:docPr id="29" name="그림 1" descr="도표, 스크린샷, 라인, 그래프이(가) 표시된 사진  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vivid/AppData/Roaming/PolarisOffice/ETemp/9552_11243624/image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10820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건축면적 데이터의 경우 극단적인 이상치가 많이 분포하지는 않으며, 20000 이하의 데이터가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많이 분포하고 있습니다.</w:t>
            </w: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[IQR]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440" w:type="dxa"/>
              <w:tblLook w:val="0004A0" w:firstRow="1" w:lastRow="0" w:firstColumn="1" w:lastColumn="0" w:noHBand="0" w:noVBand="1"/>
              <w:tblLayout w:type="auto"/>
            </w:tblPr>
            <w:tblGrid>
              <w:gridCol w:w="1774"/>
              <w:gridCol w:w="1774"/>
              <w:gridCol w:w="1774"/>
              <w:gridCol w:w="1774"/>
              <w:gridCol w:w="1775"/>
            </w:tblGrid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</w:p>
              </w:tc>
              <w:tc>
                <w:tcPr>
                  <w:tcW w:type="dxa" w:w="3548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Accuracy</w:t>
                  </w:r>
                </w:p>
              </w:tc>
              <w:tc>
                <w:tcPr>
                  <w:tcW w:type="dxa" w:w="3549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F1-Score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IQR 범위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0.05 ~ 0.85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0.6419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0.6468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0.3093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0.3180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0.05 ~ 0.90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0.6425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0.6425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0.3199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0.3130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0.05 ~ 0.95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0.6638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0.6776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0.3304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0.3420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0.05 ~ 0.98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0.6600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0.6605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0.3406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0.3410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0.10 ~ 0.95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0.6622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0.6591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0.3434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0.3213</w:t>
                  </w:r>
                </w:p>
              </w:tc>
            </w:tr>
          </w:tbl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[UNIFY]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440" w:type="dxa"/>
              <w:tblLook w:val="0004A0" w:firstRow="1" w:lastRow="0" w:firstColumn="1" w:lastColumn="0" w:noHBand="0" w:noVBand="1"/>
              <w:tblLayout w:type="auto"/>
            </w:tblPr>
            <w:tblGrid>
              <w:gridCol w:w="1774"/>
              <w:gridCol w:w="1774"/>
              <w:gridCol w:w="1774"/>
              <w:gridCol w:w="1774"/>
              <w:gridCol w:w="1775"/>
            </w:tblGrid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</w:p>
              </w:tc>
              <w:tc>
                <w:tcPr>
                  <w:tcW w:type="dxa" w:w="3548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Accuracy</w:t>
                  </w:r>
                </w:p>
              </w:tc>
              <w:tc>
                <w:tcPr>
                  <w:tcW w:type="dxa" w:w="3549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F1-Score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UNIFY 범위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70000이상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0.6757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0.6767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0.3247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0.3133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3000 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0.6757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0.6767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0.3247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0.3133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2000이상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0.6720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0.6767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0.3181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0.3133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1600이상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0.6714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0.6751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0.3195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0.3098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1800이상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0.6698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0.6767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0.3116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0.3133</w:t>
                  </w:r>
                </w:p>
              </w:tc>
            </w:tr>
          </w:tbl>
          <w:p>
            <w:p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</w:p>
          <w:p>
            <w:pPr>
              <w:pStyle w:val="PO26"/>
              <w:numPr>
                <w:numId w:val="25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부대시설면적</w:t>
            </w:r>
          </w:p>
          <w:p>
            <w:pPr>
              <w:jc w:val="both"/>
              <w:spacing w:lineRule="auto" w:line="335" w:after="0"/>
              <w:ind w:left="220" w:firstLine="0" w:leftChars="10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2103755"/>
                  <wp:effectExtent l="0" t="0" r="2540" b="0"/>
                  <wp:docPr id="32" name="그림 1" descr="도표, 라인, 스크린샷, 직사각형이(가) 표시된 사진  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/Users/vivid/AppData/Roaming/PolarisOffice/ETemp/9552_11243624/image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10439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부대시설면적 데이터의 경우 극단적인 이상값은 많이 존재하지 않으며 13000 이하의 값이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분포하고 있습니다.</w:t>
            </w: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[IQR]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440" w:type="dxa"/>
              <w:tblLook w:val="0004A0" w:firstRow="1" w:lastRow="0" w:firstColumn="1" w:lastColumn="0" w:noHBand="0" w:noVBand="1"/>
              <w:tblLayout w:type="auto"/>
            </w:tblPr>
            <w:tblGrid>
              <w:gridCol w:w="1774"/>
              <w:gridCol w:w="1774"/>
              <w:gridCol w:w="1774"/>
              <w:gridCol w:w="1774"/>
              <w:gridCol w:w="1775"/>
            </w:tblGrid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</w:p>
              </w:tc>
              <w:tc>
                <w:tcPr>
                  <w:tcW w:type="dxa" w:w="3548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Accuracy</w:t>
                  </w:r>
                </w:p>
              </w:tc>
              <w:tc>
                <w:tcPr>
                  <w:tcW w:type="dxa" w:w="3549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F1-Score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IQR 범위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0.05 ~ 0.85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0.6412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0.6428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0.3324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0.3185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0.05 ~ 0.90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0.6490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0.6527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0.3355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0.3290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0.05 ~ 0.95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0.6571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0.6608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0.3021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0.2964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0.05 ~ 0.98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0.6571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0.6608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0.3021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0.2964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0.10 ~ 0.95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0.6571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0.6608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0.3021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0.2964</w:t>
                  </w:r>
                </w:p>
              </w:tc>
            </w:tr>
          </w:tbl>
          <w:p>
            <w:pPr>
              <w:jc w:val="left"/>
              <w:spacing w:lineRule="auto" w:line="240" w:before="0" w:after="0"/>
              <w:ind w:left="440" w:right="0" w:firstLine="0"/>
              <w:rPr>
                <w:shd w:val="clear"/>
              </w:rPr>
            </w:pP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[UNIFY]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440" w:type="dxa"/>
              <w:tblLook w:val="0004A0" w:firstRow="1" w:lastRow="0" w:firstColumn="1" w:lastColumn="0" w:noHBand="0" w:noVBand="1"/>
              <w:tblLayout w:type="auto"/>
            </w:tblPr>
            <w:tblGrid>
              <w:gridCol w:w="1774"/>
              <w:gridCol w:w="1774"/>
              <w:gridCol w:w="1774"/>
              <w:gridCol w:w="1774"/>
              <w:gridCol w:w="1775"/>
            </w:tblGrid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</w:p>
              </w:tc>
              <w:tc>
                <w:tcPr>
                  <w:tcW w:type="dxa" w:w="3548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Accuracy</w:t>
                  </w:r>
                </w:p>
              </w:tc>
              <w:tc>
                <w:tcPr>
                  <w:tcW w:type="dxa" w:w="3549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F1-Score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UNIFY 범위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8000이상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0.6638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0.6776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0.3304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0.3420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3000 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0.6638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0.6776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0.3304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0.3420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2000이상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0.6638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0.6776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0.3304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0.3420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1600이상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0.6638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0.6776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0.3304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0.3420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1000이상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0.6750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0.6755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0.3472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0.3408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800 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0.6676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0.6760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0.3245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0.3369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900 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0.6792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0.3311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0.3434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850 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0.6676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0.6766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0.3386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0.3433</w:t>
                  </w:r>
                </w:p>
              </w:tc>
            </w:tr>
          </w:tbl>
          <w:p>
            <w:p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</w:p>
          <w:p>
            <w:pPr>
              <w:pStyle w:val="PO26"/>
              <w:numPr>
                <w:numId w:val="25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종업원합계</w:t>
            </w:r>
          </w:p>
          <w:p>
            <w:p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2103755"/>
                  <wp:effectExtent l="0" t="0" r="2540" b="0"/>
                  <wp:docPr id="35" name="그림 1" descr="도표, 라인, 스크린샷, 그래프이(가) 표시된 사진  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/Users/vivid/AppData/Roaming/PolarisOffice/ETemp/9552_11243624/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10439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종업원합계의 경우 대부분이 100명 이하로 분포하고 있으며 극단적인 이상치인 </w:t>
            </w: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명을 넘어가는 값이 보이는데, 이 값은 대기업으로 판단하였다.</w:t>
            </w: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[IQR]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440" w:type="dxa"/>
              <w:tblLook w:val="0004A0" w:firstRow="1" w:lastRow="0" w:firstColumn="1" w:lastColumn="0" w:noHBand="0" w:noVBand="1"/>
              <w:tblLayout w:type="auto"/>
            </w:tblPr>
            <w:tblGrid>
              <w:gridCol w:w="1774"/>
              <w:gridCol w:w="1774"/>
              <w:gridCol w:w="1774"/>
              <w:gridCol w:w="1774"/>
              <w:gridCol w:w="1775"/>
            </w:tblGrid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</w:p>
              </w:tc>
              <w:tc>
                <w:tcPr>
                  <w:tcW w:type="dxa" w:w="3548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Accuracy</w:t>
                  </w:r>
                </w:p>
              </w:tc>
              <w:tc>
                <w:tcPr>
                  <w:tcW w:type="dxa" w:w="3549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F1-Score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IQR 범위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0.05 ~ 0.85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0.6625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0.6625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0.3212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0.3177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0.05 ~ 0.90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0.6599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0.6663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0.3363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0.3419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0.05 ~ 0.95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0.6528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0.6591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0.3428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0.3541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0.05 ~ 0.98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0.6528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0.6591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0.3428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0.3541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0.10 ~ 0.95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0.6421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0.6469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0.3195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0.3206</w:t>
                  </w:r>
                </w:p>
              </w:tc>
            </w:tr>
          </w:tbl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[UNIFY]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440" w:type="dxa"/>
              <w:tblLook w:val="0004A0" w:firstRow="1" w:lastRow="0" w:firstColumn="1" w:lastColumn="0" w:noHBand="0" w:noVBand="1"/>
              <w:tblLayout w:type="auto"/>
            </w:tblPr>
            <w:tblGrid>
              <w:gridCol w:w="1774"/>
              <w:gridCol w:w="1774"/>
              <w:gridCol w:w="1774"/>
              <w:gridCol w:w="1774"/>
              <w:gridCol w:w="1775"/>
            </w:tblGrid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</w:p>
              </w:tc>
              <w:tc>
                <w:tcPr>
                  <w:tcW w:type="dxa" w:w="3548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Accuracy</w:t>
                  </w:r>
                </w:p>
              </w:tc>
              <w:tc>
                <w:tcPr>
                  <w:tcW w:type="dxa" w:w="3549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F1-Score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UNIFY 범위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1000이상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0.6792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0.3311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0.3434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600이상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0.6792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0.3311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0.3434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300이상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0.6792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0.3311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0.3434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200 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0.6771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0.3311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0.3391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250 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0.6771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0.3311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0.3391</w:t>
                  </w:r>
                </w:p>
              </w:tc>
            </w:tr>
          </w:tbl>
          <w:p>
            <w:p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</w:p>
          <w:p>
            <w:pPr>
              <w:pStyle w:val="PO26"/>
              <w:numPr>
                <w:numId w:val="25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남자종업원</w:t>
            </w:r>
          </w:p>
          <w:p>
            <w:pPr>
              <w:jc w:val="both"/>
              <w:spacing w:lineRule="auto" w:line="335" w:after="0"/>
              <w:ind w:left="220" w:firstLine="0" w:leftChars="10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2089785"/>
                  <wp:effectExtent l="0" t="0" r="2540" b="5715"/>
                  <wp:docPr id="38" name="그림 1" descr="라인, 도표, 그래프, 직사각형이(가) 표시된 사진  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/Users/vivid/AppData/Roaming/PolarisOffice/ETemp/9552_11243624/image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09042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남자 종업원의 분포 또한 종업원 합계와 유사한 분포를 나타났으며, 대부분의 기업에서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500명 이하의 남자 종업원을 보유하고있다.</w:t>
            </w: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[IQR]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440" w:type="dxa"/>
              <w:tblLook w:val="0004A0" w:firstRow="1" w:lastRow="0" w:firstColumn="1" w:lastColumn="0" w:noHBand="0" w:noVBand="1"/>
              <w:tblLayout w:type="auto"/>
            </w:tblPr>
            <w:tblGrid>
              <w:gridCol w:w="1774"/>
              <w:gridCol w:w="1774"/>
              <w:gridCol w:w="1774"/>
              <w:gridCol w:w="1774"/>
              <w:gridCol w:w="1775"/>
            </w:tblGrid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</w:p>
              </w:tc>
              <w:tc>
                <w:tcPr>
                  <w:tcW w:type="dxa" w:w="3548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Accuracy</w:t>
                  </w:r>
                </w:p>
              </w:tc>
              <w:tc>
                <w:tcPr>
                  <w:tcW w:type="dxa" w:w="3549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F1-Score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IQR 범위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0.05 ~ 0.85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0.6451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0.6527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0.3123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0.3061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0.05 ~ 0.90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0.6534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0.6550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0.3147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0.3247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0.05 ~ 0.95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0.6405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0.6427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0.3234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0.3184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0.05 ~ 0.98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0.6405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0.6427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0.3234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0.3184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0.10 ~ 0.95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0.6405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0.6427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0.3234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0.3184</w:t>
                  </w:r>
                </w:p>
              </w:tc>
            </w:tr>
          </w:tbl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[UNIFY]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440" w:type="dxa"/>
              <w:tblLook w:val="0004A0" w:firstRow="1" w:lastRow="0" w:firstColumn="1" w:lastColumn="0" w:noHBand="0" w:noVBand="1"/>
              <w:tblLayout w:type="auto"/>
            </w:tblPr>
            <w:tblGrid>
              <w:gridCol w:w="1774"/>
              <w:gridCol w:w="1774"/>
              <w:gridCol w:w="1774"/>
              <w:gridCol w:w="1774"/>
              <w:gridCol w:w="1775"/>
            </w:tblGrid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</w:p>
              </w:tc>
              <w:tc>
                <w:tcPr>
                  <w:tcW w:type="dxa" w:w="3548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Accuracy</w:t>
                  </w:r>
                </w:p>
              </w:tc>
              <w:tc>
                <w:tcPr>
                  <w:tcW w:type="dxa" w:w="3549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F1-Score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UNIFY 범위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1000이상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0.6792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0.3311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0.3434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500이상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0.6792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0.3311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0.3434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300이상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0.6792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0.3311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0.3434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200 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0.6792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0.3311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0.3434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125 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0.6792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0.3311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0.3434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100 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0.6676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0.6840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0.3280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0.3387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80 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0.6702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0.6776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0.3518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0.3389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110 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0.6840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0.3311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0.3387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90 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0.6676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0.6813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0.3280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0.3458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115이상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0.6840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0.3311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0.3387</w:t>
                  </w:r>
                </w:p>
              </w:tc>
            </w:tr>
          </w:tbl>
          <w:p>
            <w:pPr>
              <w:jc w:val="left"/>
              <w:spacing w:lineRule="auto" w:line="240" w:before="0" w:after="0"/>
              <w:ind w:left="440" w:right="0" w:firstLine="0"/>
              <w:rPr>
                <w:shd w:val="clear"/>
              </w:rPr>
            </w:pPr>
          </w:p>
          <w:p>
            <w:p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</w:p>
          <w:p>
            <w:pPr>
              <w:pStyle w:val="PO26"/>
              <w:numPr>
                <w:numId w:val="25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여자종업원</w:t>
            </w:r>
          </w:p>
          <w:p>
            <w:p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2103755"/>
                  <wp:effectExtent l="0" t="0" r="2540" b="0"/>
                  <wp:docPr id="41" name="그림 1" descr="도표, 라인, 텍스트, 스크린샷이(가) 표시된 사진  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:/Users/vivid/AppData/Roaming/PolarisOffice/ETemp/9552_11243624/image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10439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여자종업원 데이터의 경우 종업원 합계 데이터와 유사하며 대부분 700명 이하의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여자종업원을 보유하고 있다.</w:t>
            </w: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[IQR]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440" w:type="dxa"/>
              <w:tblLook w:val="0004A0" w:firstRow="1" w:lastRow="0" w:firstColumn="1" w:lastColumn="0" w:noHBand="0" w:noVBand="1"/>
              <w:tblLayout w:type="auto"/>
            </w:tblPr>
            <w:tblGrid>
              <w:gridCol w:w="1774"/>
              <w:gridCol w:w="1774"/>
              <w:gridCol w:w="1774"/>
              <w:gridCol w:w="1774"/>
              <w:gridCol w:w="1775"/>
            </w:tblGrid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</w:p>
              </w:tc>
              <w:tc>
                <w:tcPr>
                  <w:tcW w:type="dxa" w:w="3548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Accuracy</w:t>
                  </w:r>
                </w:p>
              </w:tc>
              <w:tc>
                <w:tcPr>
                  <w:tcW w:type="dxa" w:w="3549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F1-Score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IQR 범위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0.05 ~ 0.85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0.6346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0.3086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0.3280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0.2930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0.05 ~ 0.90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0.6502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0.6573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0.2920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0.3049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0.05 ~ 0.95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0.6421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0.6394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0.3148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0.3131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0.05 ~ 0.98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0.6421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0.6394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0.3148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0.3131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0.10 ~ 0.95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0.6421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0.6394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0.3148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0.3131</w:t>
                  </w:r>
                </w:p>
              </w:tc>
            </w:tr>
          </w:tbl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[UNIFY]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440" w:type="dxa"/>
              <w:tblLook w:val="0004A0" w:firstRow="1" w:lastRow="0" w:firstColumn="1" w:lastColumn="0" w:noHBand="0" w:noVBand="1"/>
              <w:tblLayout w:type="auto"/>
            </w:tblPr>
            <w:tblGrid>
              <w:gridCol w:w="1774"/>
              <w:gridCol w:w="1774"/>
              <w:gridCol w:w="1774"/>
              <w:gridCol w:w="1774"/>
              <w:gridCol w:w="1775"/>
            </w:tblGrid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</w:p>
              </w:tc>
              <w:tc>
                <w:tcPr>
                  <w:tcW w:type="dxa" w:w="3548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Accuracy</w:t>
                  </w:r>
                </w:p>
              </w:tc>
              <w:tc>
                <w:tcPr>
                  <w:tcW w:type="dxa" w:w="3549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F1-Score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UNIFY 범위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800 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0.6840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0.3311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0.3387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300 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0.6840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0.3311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0.3387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150 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0.6840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0.3311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0.3387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100 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0.6840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0.3311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0.3387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80 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0.6750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0.3311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0.3323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90 이상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0.6840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</w:p>
              </w:tc>
            </w:tr>
          </w:tbl>
          <w:p>
            <w:pPr>
              <w:jc w:val="both"/>
              <w:spacing w:lineRule="auto" w:line="335" w:after="0"/>
              <w:ind w:left="538" w:hanging="538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</w:p>
          <w:p>
            <w:pPr>
              <w:pStyle w:val="PO26"/>
              <w:numPr>
                <w:numId w:val="25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지식산업센터명</w:t>
            </w:r>
          </w:p>
          <w:p>
            <w:pPr>
              <w:jc w:val="both"/>
              <w:spacing w:lineRule="auto" w:line="335" w:after="0"/>
              <w:ind w:left="220" w:firstLine="0" w:leftChars="10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4139565"/>
                  <wp:effectExtent l="0" t="0" r="2540" b="0"/>
                  <wp:docPr id="44" name="그림 1" descr="텍스트, 스크린샷, 그래프, 라인이(가) 표시된 사진  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:/Users/vivid/AppData/Roaming/PolarisOffice/ETemp/9552_11243624/image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414020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지식산업센터명의 데이터의 경우 대부분은 빈 값으로 존재하였으며, 다양한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지식산업센터명이 순위를 차지하는 것을 볼 수 있다.</w:t>
            </w: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[UNIFY]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440" w:type="dxa"/>
              <w:tblLook w:val="0004A0" w:firstRow="1" w:lastRow="0" w:firstColumn="1" w:lastColumn="0" w:noHBand="0" w:noVBand="1"/>
              <w:tblLayout w:type="auto"/>
            </w:tblPr>
            <w:tblGrid>
              <w:gridCol w:w="1774"/>
              <w:gridCol w:w="1774"/>
              <w:gridCol w:w="1774"/>
              <w:gridCol w:w="1774"/>
              <w:gridCol w:w="1775"/>
            </w:tblGrid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</w:p>
              </w:tc>
              <w:tc>
                <w:tcPr>
                  <w:tcW w:type="dxa" w:w="3548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Accuracy</w:t>
                  </w:r>
                </w:p>
              </w:tc>
              <w:tc>
                <w:tcPr>
                  <w:tcW w:type="dxa" w:w="3549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F1-Score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UNIFY 범위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30개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0.6267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0.6400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0.3106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0.3250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10개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0.6686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0.3377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0.3298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9개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0.6607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0.6676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0.3216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0.3239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8개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0.6676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0.6723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0.3425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0.3331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7개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0.6633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0.6824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0.3310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0.3142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6개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0.6691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0.6787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0.3394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0.3370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5개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0.6644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0.6803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0.3323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0.3379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4개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0.6750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0.6766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0.3487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0.3336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3개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0.6686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0.6787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0.3282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0.3427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2개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0.6744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0.3404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0.3420</w:t>
                  </w:r>
                </w:p>
              </w:tc>
            </w:tr>
          </w:tbl>
          <w:p>
            <w:p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</w:p>
          <w:p>
            <w:pPr>
              <w:pStyle w:val="PO26"/>
              <w:numPr>
                <w:numId w:val="25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입주형태</w:t>
            </w:r>
          </w:p>
          <w:p>
            <w:pPr>
              <w:jc w:val="both"/>
              <w:spacing w:lineRule="auto" w:line="335" w:after="0"/>
              <w:ind w:left="220" w:firstLine="0" w:leftChars="10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3924935"/>
                  <wp:effectExtent l="0" t="0" r="2540" b="0"/>
                  <wp:docPr id="46" name="그림 1" descr="텍스트, 스크린샷, 도표, 그래프이(가) 표시된 사진  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:/Users/vivid/AppData/Roaming/PolarisOffice/ETemp/9552_11243624/image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92557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spacing w:lineRule="auto" w:line="335" w:after="0"/>
              <w:ind w:left="220" w:firstLine="0" w:leftChars="10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입주형태 데이터의 경우 대부분이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해당없음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이며 일반건축물, 분양, 공장임대가 그 순위를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차지했다.</w:t>
            </w: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[UNIFY]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440" w:type="dxa"/>
              <w:tblLook w:val="0004A0" w:firstRow="1" w:lastRow="0" w:firstColumn="1" w:lastColumn="0" w:noHBand="0" w:noVBand="1"/>
              <w:tblLayout w:type="auto"/>
            </w:tblPr>
            <w:tblGrid>
              <w:gridCol w:w="1774"/>
              <w:gridCol w:w="1774"/>
              <w:gridCol w:w="1774"/>
              <w:gridCol w:w="1774"/>
              <w:gridCol w:w="1775"/>
            </w:tblGrid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</w:p>
              </w:tc>
              <w:tc>
                <w:tcPr>
                  <w:tcW w:type="dxa" w:w="3548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Accuracy</w:t>
                  </w:r>
                </w:p>
              </w:tc>
              <w:tc>
                <w:tcPr>
                  <w:tcW w:type="dxa" w:w="3549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F1-Score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UNIFY 범위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400개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0.6644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0.3723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0.3299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0.3235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300개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0.6670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0.3298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0.3300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200개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0.6670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0.3298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0.3300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81개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0.6670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0.3298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0.3300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80개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0.6829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0.3405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0.3448</w:t>
                  </w:r>
                </w:p>
              </w:tc>
            </w:tr>
          </w:tbl>
          <w:p>
            <w:pPr>
              <w:jc w:val="both"/>
              <w:spacing w:lineRule="auto" w:line="335" w:after="0"/>
              <w:ind w:left="538" w:hanging="538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</w:p>
          <w:p>
            <w:pPr>
              <w:pStyle w:val="PO26"/>
              <w:numPr>
                <w:numId w:val="25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용도지역</w:t>
            </w:r>
          </w:p>
          <w:p>
            <w:p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4688205"/>
                  <wp:effectExtent l="0" t="0" r="2540" b="0"/>
                  <wp:docPr id="48" name="그림 1" descr="텍스트, 스크린샷, 도표, 라인이(가) 표시된 사진  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C:/Users/vivid/AppData/Roaming/PolarisOffice/ETemp/9552_11243624/image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468884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용도지역 데이터의 경우 다양한 값들이 존재하였으며, 빈 데이터가 많아고 도시지역으로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시작하는 데이터가 대부분을 차지한 것을 볼 수 있다.</w:t>
            </w: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[UNIFY]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440" w:type="dxa"/>
              <w:tblLook w:val="0004A0" w:firstRow="1" w:lastRow="0" w:firstColumn="1" w:lastColumn="0" w:noHBand="0" w:noVBand="1"/>
              <w:tblLayout w:type="auto"/>
            </w:tblPr>
            <w:tblGrid>
              <w:gridCol w:w="1774"/>
              <w:gridCol w:w="1774"/>
              <w:gridCol w:w="1774"/>
              <w:gridCol w:w="1774"/>
              <w:gridCol w:w="1775"/>
            </w:tblGrid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</w:p>
              </w:tc>
              <w:tc>
                <w:tcPr>
                  <w:tcW w:type="dxa" w:w="3548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Accuracy</w:t>
                  </w:r>
                </w:p>
              </w:tc>
              <w:tc>
                <w:tcPr>
                  <w:tcW w:type="dxa" w:w="3549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F1-Score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UNIFY 범위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41개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0.6729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0.6824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0.3483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0.3371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20개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0.6670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0.6771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0.3361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0.3374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15개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0.6840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0.3311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0.3387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6개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0.6840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0.3311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0.3387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2개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0.6840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0.3311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0.3387</w:t>
                  </w:r>
                </w:p>
              </w:tc>
            </w:tr>
          </w:tbl>
          <w:p>
            <w:pPr>
              <w:jc w:val="both"/>
              <w:spacing w:lineRule="auto" w:line="335" w:after="0"/>
              <w:ind w:left="538" w:hanging="538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</w:p>
          <w:p>
            <w:pPr>
              <w:pStyle w:val="PO26"/>
              <w:numPr>
                <w:numId w:val="25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지목</w:t>
            </w:r>
          </w:p>
          <w:p>
            <w:p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3957955"/>
                  <wp:effectExtent l="0" t="0" r="2540" b="4445"/>
                  <wp:docPr id="50" name="그림 1" descr="텍스트, 스크린샷, 그래프, 라인이(가) 표시된 사진  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:/Users/vivid/AppData/Roaming/PolarisOffice/ETemp/9552_11243624/image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95859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지목 데이터의 경우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대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공장용지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의 속성이 가장 많음을 나타내고 있다. 나머지 데이터의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경우 소규모 데이터로 존재한다. </w:t>
            </w:r>
          </w:p>
          <w:p>
            <w:pPr>
              <w:jc w:val="both"/>
              <w:spacing w:lineRule="auto" w:line="335" w:after="0"/>
              <w:ind w:left="44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[UNIFY]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440" w:type="dxa"/>
              <w:tblLook w:val="0004A0" w:firstRow="1" w:lastRow="0" w:firstColumn="1" w:lastColumn="0" w:noHBand="0" w:noVBand="1"/>
              <w:tblLayout w:type="auto"/>
            </w:tblPr>
            <w:tblGrid>
              <w:gridCol w:w="1774"/>
              <w:gridCol w:w="1774"/>
              <w:gridCol w:w="1774"/>
              <w:gridCol w:w="1774"/>
              <w:gridCol w:w="1775"/>
            </w:tblGrid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</w:p>
              </w:tc>
              <w:tc>
                <w:tcPr>
                  <w:tcW w:type="dxa" w:w="3548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Accuracy</w:t>
                  </w:r>
                </w:p>
              </w:tc>
              <w:tc>
                <w:tcPr>
                  <w:tcW w:type="dxa" w:w="3549"/>
                  <w:vAlign w:val="top"/>
                  <w:gridSpan w:val="2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F1-Score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UNIFY 범위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XGBOOST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LGBM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25개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0.6644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0.6720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0.3443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0.3401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24개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0.6660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0.6760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0.3451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0.3401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21개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0.6723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0.6755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0.3448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0.3397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8개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0.6628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0.6723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0.3317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0.3338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5개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0.6744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0.3448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0.3428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4개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0.6739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0.6808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0.3386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0.3486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3개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0.6729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0.6797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0.3453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0.3422</w:t>
                  </w:r>
                </w:p>
              </w:tc>
            </w:tr>
            <w:tr>
              <w:trPr/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2개 이하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0.6729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0.6979</w:t>
                  </w:r>
                </w:p>
              </w:tc>
              <w:tc>
                <w:tcPr>
                  <w:tcW w:type="dxa" w:w="1774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0.3453</w:t>
                  </w:r>
                </w:p>
              </w:tc>
              <w:tc>
                <w:tcPr>
                  <w:tcW w:type="dxa" w:w="177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0.3422</w:t>
                  </w:r>
                </w:p>
              </w:tc>
            </w:tr>
          </w:tbl>
          <w:p>
            <w:pPr>
              <w:jc w:val="left"/>
              <w:spacing w:lineRule="auto" w:line="240" w:before="0" w:after="0"/>
              <w:ind w:left="440" w:right="0" w:firstLine="0"/>
              <w:rPr>
                <w:shd w:val="clear"/>
              </w:rPr>
            </w:pPr>
          </w:p>
          <w:p>
            <w:pPr>
              <w:pStyle w:val="PO166"/>
              <w:ind w:left="220" w:firstLine="0" w:leftChars="100"/>
              <w:rPr>
                <w:b w:val="1"/>
                <w:shd w:val="clear"/>
              </w:rPr>
            </w:pPr>
            <w:r>
              <w:rPr>
                <w:shd w:val="clear"/>
              </w:rPr>
              <w:t xml:space="preserve">다양한 경우의 수로 EDA를 진행한 결과, 전처리를 진행하지 않은 모델의 최대 성능은 </w:t>
            </w:r>
            <w:r>
              <w:rPr>
                <w:shd w:val="clear"/>
              </w:rPr>
              <w:t xml:space="preserve">0.6829로 나타났습니다. 이는 전처리를 진행하지 않은 모델의 성능인 0.6795와 </w:t>
            </w:r>
            <w:r>
              <w:rPr>
                <w:shd w:val="clear"/>
              </w:rPr>
              <w:t xml:space="preserve">비교했을 때 0.003의 정확도 향상이 있었으나</w:t>
            </w:r>
            <w:r>
              <w:rPr>
                <w:b w:val="1"/>
                <w:shd w:val="clear"/>
              </w:rPr>
              <w:t xml:space="preserve">, 유의미한 차이는 아니라고 </w:t>
            </w:r>
            <w:r>
              <w:rPr>
                <w:b w:val="1"/>
                <w:shd w:val="clear"/>
              </w:rPr>
              <w:t xml:space="preserve">판단되었습니다. 따라서 전처리를 적용하지 않고 모델을 생성하기로 결정하였습니다.</w:t>
            </w:r>
          </w:p>
          <w:p>
            <w:pPr>
              <w:pStyle w:val="PO166"/>
              <w:rPr>
                <w:shd w:val="clear"/>
              </w:rPr>
            </w:pPr>
          </w:p>
          <w:p>
            <w:pPr>
              <w:pStyle w:val="PO166"/>
              <w:numPr>
                <w:numId w:val="5"/>
                <w:ilvl w:val="0"/>
              </w:numPr>
              <w:rPr>
                <w:b w:val="1"/>
                <w:shd w:val="clear"/>
              </w:rPr>
            </w:pPr>
            <w:r>
              <w:rPr>
                <w:rStyle w:val="PO20"/>
                <w:shd w:val="clear"/>
              </w:rPr>
              <w:t xml:space="preserve">최적의 하이퍼파라미터 (Optuna)</w:t>
            </w:r>
            <w:r>
              <w:rPr>
                <w:rStyle w:val="PO20"/>
                <w:shd w:val="clear"/>
                <w:rFonts w:hint="eastAsia"/>
              </w:rPr>
              <w:t xml:space="preserve">: </w:t>
            </w:r>
            <w:r>
              <w:rPr>
                <w:shd w:val="clear"/>
              </w:rPr>
              <w:t xml:space="preserve">XGBoost, LGBM, CatBoost, KNN 모델을 </w:t>
            </w:r>
            <w:r>
              <w:rPr>
                <w:shd w:val="clear"/>
              </w:rPr>
              <w:t xml:space="preserve">테스트한 결과, XGBoost와 LGBM의 정확도가 가장 높았습니다. 따라서 이 두 </w:t>
            </w:r>
            <w:r>
              <w:rPr>
                <w:shd w:val="clear"/>
              </w:rPr>
              <w:t xml:space="preserve">모델의 최적 하이퍼파라미터를 찾아 모델을 생성하고자 합니다. XGBClassifier와 </w:t>
            </w:r>
            <w:r>
              <w:rPr>
                <w:shd w:val="clear"/>
              </w:rPr>
              <w:t xml:space="preserve">LGBMClassifier 모델의 하이퍼파라미터 최적화는 Optuna를 사용하여 </w:t>
            </w:r>
            <w:r>
              <w:rPr>
                <w:shd w:val="clear"/>
              </w:rPr>
              <w:t xml:space="preserve">수행되었습니다. 각각의 하이퍼파라미터와 그 의미는 다음과 같습니다.</w:t>
            </w:r>
          </w:p>
          <w:p>
            <w:pPr>
              <w:pStyle w:val="PO10"/>
              <w:numPr>
                <w:numId w:val="25"/>
                <w:ilvl w:val="1"/>
              </w:numPr>
              <w:rPr>
                <w:shd w:val="clear"/>
              </w:rPr>
            </w:pPr>
            <w:r>
              <w:rPr>
                <w:shd w:val="clear"/>
              </w:rPr>
              <w:t>XGBClassifier</w:t>
            </w:r>
          </w:p>
          <w:p>
            <w:pPr>
              <w:numPr>
                <w:numId w:val="29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max_depth</w:t>
            </w:r>
            <w:r>
              <w:rPr>
                <w:shd w:val="clear"/>
              </w:rPr>
              <w:t xml:space="preserve">: 트리의 최대 깊이. 트리의 복잡성을 제어하여 과적합을 방지합니다.</w:t>
            </w:r>
          </w:p>
          <w:p>
            <w:pPr>
              <w:numPr>
                <w:numId w:val="2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범위: 1 ~ 9</w:t>
            </w:r>
          </w:p>
          <w:p>
            <w:pPr>
              <w:numPr>
                <w:numId w:val="29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learning_rate</w:t>
            </w:r>
            <w:r>
              <w:rPr>
                <w:shd w:val="clear"/>
              </w:rPr>
              <w:t xml:space="preserve">: 학습률. 학습 속도를 조절하며, 작은 값을 사용하면 더 세밀하게 학습할 </w:t>
            </w:r>
            <w:r>
              <w:rPr>
                <w:shd w:val="clear"/>
              </w:rPr>
              <w:t xml:space="preserve">수 있습니다.</w:t>
            </w:r>
          </w:p>
          <w:p>
            <w:pPr>
              <w:numPr>
                <w:numId w:val="2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범위: 1e-8 ~ 1.0 (로그 스케일)</w:t>
            </w:r>
          </w:p>
          <w:p>
            <w:pPr>
              <w:numPr>
                <w:numId w:val="29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n_estimators</w:t>
            </w:r>
            <w:r>
              <w:rPr>
                <w:shd w:val="clear"/>
              </w:rPr>
              <w:t xml:space="preserve">: 부스팅 반복 횟수. 부스팅 트리의 개수를 의미합니다.</w:t>
            </w:r>
          </w:p>
          <w:p>
            <w:pPr>
              <w:numPr>
                <w:numId w:val="2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범위: 50 ~ 500</w:t>
            </w:r>
          </w:p>
          <w:p>
            <w:pPr>
              <w:numPr>
                <w:numId w:val="29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subsample</w:t>
            </w:r>
            <w:r>
              <w:rPr>
                <w:shd w:val="clear"/>
              </w:rPr>
              <w:t xml:space="preserve">: 각 트리 학습에 사용되는 데이터 샘플의 비율. 과적합을 방지하기 위해 </w:t>
            </w:r>
            <w:r>
              <w:rPr>
                <w:shd w:val="clear"/>
              </w:rPr>
              <w:t>사용됩니다.</w:t>
            </w:r>
          </w:p>
          <w:p>
            <w:pPr>
              <w:numPr>
                <w:numId w:val="2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범위: 0.5 ~ 1.0</w:t>
            </w:r>
          </w:p>
          <w:p>
            <w:pPr>
              <w:numPr>
                <w:numId w:val="29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colsample_bytree</w:t>
            </w:r>
            <w:r>
              <w:rPr>
                <w:shd w:val="clear"/>
              </w:rPr>
              <w:t xml:space="preserve">: 각 트리 학습에 사용되는 피처 샘플의 비율입니다.</w:t>
            </w:r>
          </w:p>
          <w:p>
            <w:pPr>
              <w:numPr>
                <w:numId w:val="2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범위: 0.5 ~ 1.0</w:t>
            </w:r>
          </w:p>
          <w:p>
            <w:pPr>
              <w:numPr>
                <w:numId w:val="29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gamma</w:t>
            </w:r>
            <w:r>
              <w:rPr>
                <w:shd w:val="clear"/>
              </w:rPr>
              <w:t xml:space="preserve">: 트리 분할 시 리프 노드의 최소 손실 감소 값. 큰 값을 설정하면 모델이 더 </w:t>
            </w:r>
            <w:r>
              <w:rPr>
                <w:shd w:val="clear"/>
              </w:rPr>
              <w:t xml:space="preserve">보수적으로 분할합니다.</w:t>
            </w:r>
          </w:p>
          <w:p>
            <w:pPr>
              <w:numPr>
                <w:numId w:val="2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범위: 0 ~ 10</w:t>
            </w:r>
          </w:p>
          <w:p>
            <w:pPr>
              <w:numPr>
                <w:numId w:val="29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min_child_weight</w:t>
            </w:r>
            <w:r>
              <w:rPr>
                <w:shd w:val="clear"/>
              </w:rPr>
              <w:t xml:space="preserve">: 리프 노드가 가질 수 있는 최소 가중치 합. 과적합을 방지합니다.</w:t>
            </w:r>
          </w:p>
          <w:p>
            <w:pPr>
              <w:numPr>
                <w:numId w:val="2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범위: 1 ~ 10</w:t>
            </w:r>
          </w:p>
          <w:p>
            <w:pPr>
              <w:numPr>
                <w:numId w:val="29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reg_alpha</w:t>
            </w:r>
            <w:r>
              <w:rPr>
                <w:shd w:val="clear"/>
              </w:rPr>
              <w:t xml:space="preserve">: L1 정규화 항의 가중치입니다.</w:t>
            </w:r>
          </w:p>
          <w:p>
            <w:pPr>
              <w:numPr>
                <w:numId w:val="2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범위: 0 ~ 10</w:t>
            </w:r>
          </w:p>
          <w:p>
            <w:pPr>
              <w:numPr>
                <w:numId w:val="29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reg_lambda</w:t>
            </w:r>
            <w:r>
              <w:rPr>
                <w:shd w:val="clear"/>
              </w:rPr>
              <w:t xml:space="preserve">: L2 정규화 항의 가중치입니다.</w:t>
            </w:r>
          </w:p>
          <w:p>
            <w:pPr>
              <w:numPr>
                <w:numId w:val="2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범위: 0 ~ 10</w:t>
            </w:r>
          </w:p>
          <w:p>
            <w:pPr>
              <w:pStyle w:val="PO10"/>
              <w:numPr>
                <w:numId w:val="25"/>
                <w:ilvl w:val="1"/>
              </w:numPr>
              <w:rPr>
                <w:shd w:val="clear"/>
              </w:rPr>
            </w:pPr>
            <w:r>
              <w:rPr>
                <w:shd w:val="clear"/>
              </w:rPr>
              <w:t>LGBMClassifier</w:t>
            </w:r>
          </w:p>
          <w:p>
            <w:pPr>
              <w:numPr>
                <w:numId w:val="30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num_leaves</w:t>
            </w:r>
            <w:r>
              <w:rPr>
                <w:shd w:val="clear"/>
              </w:rPr>
              <w:t xml:space="preserve">: 하나의 트리가 가질 수 있는 최대 리프 수. 트리의 복잡성을 제어합니다.</w:t>
            </w:r>
          </w:p>
          <w:p>
            <w:pPr>
              <w:numPr>
                <w:numId w:val="3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범위: 2 ~ 256</w:t>
            </w:r>
          </w:p>
          <w:p>
            <w:pPr>
              <w:numPr>
                <w:numId w:val="30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learning_rate</w:t>
            </w:r>
            <w:r>
              <w:rPr>
                <w:shd w:val="clear"/>
              </w:rPr>
              <w:t xml:space="preserve">: 학습률. 학습 속도를 조절하며, 작은 값을 사용하면 더 세밀하게 학습할 </w:t>
            </w:r>
            <w:r>
              <w:rPr>
                <w:shd w:val="clear"/>
              </w:rPr>
              <w:t xml:space="preserve">수 있습니다.</w:t>
            </w:r>
          </w:p>
          <w:p>
            <w:pPr>
              <w:numPr>
                <w:numId w:val="3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범위: 1e-8 ~ 1.0 (로그 스케일)</w:t>
            </w:r>
          </w:p>
          <w:p>
            <w:pPr>
              <w:numPr>
                <w:numId w:val="30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n_estimators</w:t>
            </w:r>
            <w:r>
              <w:rPr>
                <w:shd w:val="clear"/>
              </w:rPr>
              <w:t xml:space="preserve">: 부스팅 반복 횟수. 부스팅 트리의 개수를 의미합니다.</w:t>
            </w:r>
          </w:p>
          <w:p>
            <w:pPr>
              <w:numPr>
                <w:numId w:val="3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범위: 50 ~ 500</w:t>
            </w:r>
          </w:p>
          <w:p>
            <w:pPr>
              <w:numPr>
                <w:numId w:val="30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min_child_samples</w:t>
            </w:r>
            <w:r>
              <w:rPr>
                <w:shd w:val="clear"/>
              </w:rPr>
              <w:t xml:space="preserve">: 리프 노드가 가질 수 있는 최소 샘플 수. 과적합을 방지합니다.</w:t>
            </w:r>
          </w:p>
          <w:p>
            <w:pPr>
              <w:numPr>
                <w:numId w:val="3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범위: 5 ~ 100</w:t>
            </w:r>
          </w:p>
          <w:p>
            <w:pPr>
              <w:numPr>
                <w:numId w:val="30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subsample</w:t>
            </w:r>
            <w:r>
              <w:rPr>
                <w:shd w:val="clear"/>
              </w:rPr>
              <w:t xml:space="preserve">: 각 트리 학습에 사용되는 데이터 샘플의 비율. 과적합을 방지하기 위해 </w:t>
            </w:r>
            <w:r>
              <w:rPr>
                <w:shd w:val="clear"/>
              </w:rPr>
              <w:t>사용됩니다.</w:t>
            </w:r>
          </w:p>
          <w:p>
            <w:pPr>
              <w:numPr>
                <w:numId w:val="3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범위: 0.5 ~ 1.0</w:t>
            </w:r>
          </w:p>
          <w:p>
            <w:pPr>
              <w:numPr>
                <w:numId w:val="30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colsample_bytree</w:t>
            </w:r>
            <w:r>
              <w:rPr>
                <w:shd w:val="clear"/>
              </w:rPr>
              <w:t xml:space="preserve">: 각 트리 학습에 사용되는 피처 샘플의 비율입니다.</w:t>
            </w:r>
          </w:p>
          <w:p>
            <w:pPr>
              <w:numPr>
                <w:numId w:val="3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범위: 0.5 ~ 1.0</w:t>
            </w:r>
          </w:p>
          <w:p>
            <w:pPr>
              <w:numPr>
                <w:numId w:val="30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reg_alpha</w:t>
            </w:r>
            <w:r>
              <w:rPr>
                <w:shd w:val="clear"/>
              </w:rPr>
              <w:t xml:space="preserve">: L1 정규화 항의 가중치입니다.</w:t>
            </w:r>
          </w:p>
          <w:p>
            <w:pPr>
              <w:numPr>
                <w:numId w:val="3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범위: 0 ~ 10</w:t>
            </w:r>
          </w:p>
          <w:p>
            <w:pPr>
              <w:numPr>
                <w:numId w:val="30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reg_lambda</w:t>
            </w:r>
            <w:r>
              <w:rPr>
                <w:shd w:val="clear"/>
              </w:rPr>
              <w:t xml:space="preserve">: L2 정규화 항의 가중치입니다.</w:t>
            </w:r>
          </w:p>
          <w:p>
            <w:pPr>
              <w:numPr>
                <w:numId w:val="3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범위: 0 ~ 10</w:t>
            </w:r>
          </w:p>
          <w:p>
            <w:pPr>
              <w:numPr>
                <w:numId w:val="30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min_split_gain</w:t>
            </w:r>
            <w:r>
              <w:rPr>
                <w:shd w:val="clear"/>
              </w:rPr>
              <w:t xml:space="preserve">: 분할 시 필요한 최소 손실 감소 값. 큰 값을 설정하면 모델이 더 </w:t>
            </w:r>
            <w:r>
              <w:rPr>
                <w:shd w:val="clear"/>
              </w:rPr>
              <w:t xml:space="preserve">보수적으로 분할합니다.</w:t>
            </w:r>
          </w:p>
          <w:p>
            <w:pPr>
              <w:numPr>
                <w:numId w:val="3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범위: 0 ~ 10</w:t>
            </w:r>
          </w:p>
          <w:p>
            <w:pPr>
              <w:pStyle w:val="PO9"/>
              <w:rPr>
                <w:b w:val="1"/>
                <w:shd w:val="clear"/>
              </w:rPr>
            </w:pPr>
            <w:r>
              <w:rPr>
                <w:b w:val="1"/>
                <w:shd w:val="clear"/>
              </w:rPr>
              <w:t xml:space="preserve">하이퍼파라미터 최적화 결과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Optuna를 통해 XGBClassifier와 LGBMClassifier의 하이퍼파라미터를 최적화한 결과는 </w:t>
            </w:r>
            <w:r>
              <w:rPr>
                <w:shd w:val="clear"/>
              </w:rPr>
              <w:t xml:space="preserve">다음과 같습니다.</w:t>
            </w:r>
          </w:p>
          <w:p>
            <w:pPr>
              <w:pStyle w:val="PO10"/>
              <w:rPr>
                <w:b w:val="1"/>
                <w:shd w:val="clear"/>
              </w:rPr>
            </w:pPr>
            <w:r>
              <w:rPr>
                <w:b w:val="1"/>
                <w:shd w:val="clear"/>
              </w:rPr>
              <w:t>XGBClassifier</w:t>
            </w:r>
          </w:p>
          <w:p>
            <w:pPr>
              <w:numPr>
                <w:numId w:val="31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최적 하이퍼파라미터</w:t>
            </w:r>
            <w:r>
              <w:rPr>
                <w:shd w:val="clear"/>
              </w:rPr>
              <w:t>:</w:t>
            </w:r>
          </w:p>
          <w:p>
            <w:pPr>
              <w:numPr>
                <w:numId w:val="31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max_depth: 5</w:t>
            </w:r>
          </w:p>
          <w:p>
            <w:pPr>
              <w:numPr>
                <w:numId w:val="31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learning_rate: 0.1300918726059749</w:t>
            </w:r>
          </w:p>
          <w:p>
            <w:pPr>
              <w:numPr>
                <w:numId w:val="31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n_estimators: 220</w:t>
            </w:r>
          </w:p>
          <w:p>
            <w:pPr>
              <w:numPr>
                <w:numId w:val="31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subsample: 0.8604752773818702</w:t>
            </w:r>
          </w:p>
          <w:p>
            <w:pPr>
              <w:numPr>
                <w:numId w:val="31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colsample_bytree: 0.947536499090015</w:t>
            </w:r>
          </w:p>
          <w:p>
            <w:pPr>
              <w:numPr>
                <w:numId w:val="31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gamma: 0.28310148651580475</w:t>
            </w:r>
          </w:p>
          <w:p>
            <w:pPr>
              <w:numPr>
                <w:numId w:val="31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min_child_weight: 2</w:t>
            </w:r>
          </w:p>
          <w:p>
            <w:pPr>
              <w:numPr>
                <w:numId w:val="31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reg_alpha: 0.04775304383167353</w:t>
            </w:r>
          </w:p>
          <w:p>
            <w:pPr>
              <w:numPr>
                <w:numId w:val="31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reg_lambda: 3.1796604958721355</w:t>
            </w:r>
          </w:p>
          <w:p>
            <w:pPr>
              <w:numPr>
                <w:numId w:val="31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최적 성능 (Best score)</w:t>
            </w:r>
            <w:r>
              <w:rPr>
                <w:shd w:val="clear"/>
              </w:rPr>
              <w:t xml:space="preserve">: 0.673407482305359</w:t>
            </w:r>
          </w:p>
          <w:p>
            <w:pPr>
              <w:pStyle w:val="PO10"/>
              <w:rPr>
                <w:b w:val="1"/>
                <w:shd w:val="clear"/>
              </w:rPr>
            </w:pPr>
            <w:r>
              <w:rPr>
                <w:b w:val="1"/>
                <w:shd w:val="clear"/>
              </w:rPr>
              <w:t>LGBMClassifier</w:t>
            </w:r>
          </w:p>
          <w:p>
            <w:pPr>
              <w:numPr>
                <w:numId w:val="32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최적 하이퍼파라미터</w:t>
            </w:r>
            <w:r>
              <w:rPr>
                <w:shd w:val="clear"/>
              </w:rPr>
              <w:t>:</w:t>
            </w:r>
          </w:p>
          <w:p>
            <w:pPr>
              <w:numPr>
                <w:numId w:val="32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num_leaves: 183</w:t>
            </w:r>
          </w:p>
          <w:p>
            <w:pPr>
              <w:numPr>
                <w:numId w:val="32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learning_rate: 0.05301025347665236</w:t>
            </w:r>
          </w:p>
          <w:p>
            <w:pPr>
              <w:numPr>
                <w:numId w:val="32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n_estimators: 267</w:t>
            </w:r>
          </w:p>
          <w:p>
            <w:pPr>
              <w:numPr>
                <w:numId w:val="32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min_child_samples: 49</w:t>
            </w:r>
          </w:p>
          <w:p>
            <w:pPr>
              <w:numPr>
                <w:numId w:val="32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subsample: 0.8280708153469658</w:t>
            </w:r>
          </w:p>
          <w:p>
            <w:pPr>
              <w:numPr>
                <w:numId w:val="32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colsample_bytree: 0.8115115502834236</w:t>
            </w:r>
          </w:p>
          <w:p>
            <w:pPr>
              <w:numPr>
                <w:numId w:val="32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reg_alpha: 0.24383119653567353</w:t>
            </w:r>
          </w:p>
          <w:p>
            <w:pPr>
              <w:numPr>
                <w:numId w:val="32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reg_lambda: 6.961964813669102</w:t>
            </w:r>
          </w:p>
          <w:p>
            <w:pPr>
              <w:numPr>
                <w:numId w:val="32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min_split_gain: 0.6047767141120094</w:t>
            </w:r>
          </w:p>
          <w:p>
            <w:pPr>
              <w:numPr>
                <w:numId w:val="32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최적 성능 (Best score)</w:t>
            </w:r>
            <w:r>
              <w:rPr>
                <w:shd w:val="clear"/>
              </w:rPr>
              <w:t xml:space="preserve">: 0.6830131445904954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LGBM 모델은 Optuna를 적용한 결과 정확도 0.68로 가장 높은 성능을 보였습니다. </w:t>
            </w:r>
            <w:r>
              <w:rPr>
                <w:shd w:val="clear"/>
              </w:rPr>
              <w:t xml:space="preserve">이를 바탕으로 모델의 안정성과 정확도를 높이기 위해 K-Fold 교차 검증을 </w:t>
            </w:r>
            <w:r>
              <w:rPr>
                <w:shd w:val="clear"/>
              </w:rPr>
              <w:t>적용하였습니다.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Look w:val="0004A0" w:firstRow="1" w:lastRow="0" w:firstColumn="1" w:lastColumn="0" w:noHBand="0" w:noVBand="1"/>
              <w:tblLayout w:type="auto"/>
            </w:tblPr>
            <w:tblGrid>
              <w:gridCol w:w="4655"/>
              <w:gridCol w:w="4656"/>
            </w:tblGrid>
            <w:tr>
              <w:trPr/>
              <w:tc>
                <w:tcPr>
                  <w:tcW w:type="dxa" w:w="465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모델</w:t>
                  </w:r>
                </w:p>
              </w:tc>
              <w:tc>
                <w:tcPr>
                  <w:tcW w:type="dxa" w:w="4656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Voting Ensemble Test Accuracy</w:t>
                  </w:r>
                </w:p>
              </w:tc>
            </w:tr>
            <w:tr>
              <w:trPr/>
              <w:tc>
                <w:tcPr>
                  <w:tcW w:type="dxa" w:w="465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Base Model</w:t>
                  </w:r>
                </w:p>
              </w:tc>
              <w:tc>
                <w:tcPr>
                  <w:tcW w:type="dxa" w:w="4656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0.6830</w:t>
                  </w:r>
                </w:p>
              </w:tc>
            </w:tr>
            <w:tr>
              <w:trPr/>
              <w:tc>
                <w:tcPr>
                  <w:tcW w:type="dxa" w:w="465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K-Fold: 5</w:t>
                  </w:r>
                </w:p>
              </w:tc>
              <w:tc>
                <w:tcPr>
                  <w:tcW w:type="dxa" w:w="4656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0.6990 ± 0.0039</w:t>
                  </w:r>
                </w:p>
              </w:tc>
            </w:tr>
            <w:tr>
              <w:trPr/>
              <w:tc>
                <w:tcPr>
                  <w:tcW w:type="dxa" w:w="465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K-Fold: 10 </w:t>
                  </w:r>
                </w:p>
              </w:tc>
              <w:tc>
                <w:tcPr>
                  <w:tcW w:type="dxa" w:w="4656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0.7037 ± 0.0083</w:t>
                  </w:r>
                </w:p>
              </w:tc>
            </w:tr>
            <w:tr>
              <w:trPr/>
              <w:tc>
                <w:tcPr>
                  <w:tcW w:type="dxa" w:w="4655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K-Fold: 15</w:t>
                  </w:r>
                </w:p>
              </w:tc>
              <w:tc>
                <w:tcPr>
                  <w:tcW w:type="dxa" w:w="4656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0.7040 ± 0.0075</w:t>
                  </w:r>
                </w:p>
              </w:tc>
            </w:tr>
            <w:tr>
              <w:trPr/>
              <w:tc>
                <w:tcPr>
                  <w:tcW w:type="dxa" w:w="465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K-Fold: 20</w:t>
                  </w:r>
                </w:p>
              </w:tc>
              <w:tc>
                <w:tcPr>
                  <w:tcW w:type="dxa" w:w="4656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0.7030 ± 0.0158</w:t>
                  </w:r>
                </w:p>
              </w:tc>
            </w:tr>
          </w:tbl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K-Fold 교차 검증을 통해 최종적으로 0.70의 정확도를 가진 안정적인 모델을 </w:t>
            </w:r>
            <w:r>
              <w:rPr>
                <w:shd w:val="clear"/>
              </w:rPr>
              <w:t xml:space="preserve">도출하였습니다. Cross Validation은 모델의 성능을 더 안정적이고 신뢰성 있게 평가하기 </w:t>
            </w:r>
            <w:r>
              <w:rPr>
                <w:shd w:val="clear"/>
              </w:rPr>
              <w:t xml:space="preserve">위한 기법으로, 데이터를 여러 개의 폴드로 나누어 여러 번 학습과 평가를 반복하여 </w:t>
            </w:r>
            <w:r>
              <w:rPr>
                <w:shd w:val="clear"/>
              </w:rPr>
              <w:t xml:space="preserve">모델의 일반화 성능을 평가합니다. 이를 통해 최종 모델의 성능을 최적화할 수 </w:t>
            </w:r>
            <w:r>
              <w:rPr>
                <w:shd w:val="clear"/>
              </w:rPr>
              <w:t>있었습니다.</w:t>
            </w:r>
          </w:p>
          <w:p>
            <w:pPr>
              <w:pStyle w:val="PO166"/>
              <w:rPr>
                <w:shd w:val="clear"/>
              </w:rPr>
            </w:pPr>
          </w:p>
          <w:p>
            <w:pPr>
              <w:pStyle w:val="PO166"/>
              <w:numPr>
                <w:numId w:val="5"/>
                <w:ilvl w:val="0"/>
              </w:numPr>
              <w:rPr>
                <w:shd w:val="clear"/>
              </w:rPr>
            </w:pPr>
            <w:r>
              <w:rPr>
                <w:rStyle w:val="PO20"/>
                <w:shd w:val="clear"/>
              </w:rPr>
              <w:t>앙상블</w:t>
            </w:r>
            <w:r>
              <w:rPr>
                <w:rStyle w:val="PO20"/>
                <w:shd w:val="clear"/>
                <w:rFonts w:hint="eastAsia"/>
              </w:rPr>
              <w:t xml:space="preserve">: </w:t>
            </w:r>
            <w:r>
              <w:rPr>
                <w:shd w:val="clear"/>
              </w:rPr>
              <w:t xml:space="preserve">모델 성능을 더욱 향상시키기 위해 앙상블 기법을 활용하려고 합니다. </w:t>
            </w:r>
            <w:r>
              <w:rPr>
                <w:shd w:val="clear"/>
              </w:rPr>
              <w:t xml:space="preserve">앙상블 기법은 여러 개의 모델을 결합하여 하나의 모델보다 더 나은 성능을 </w:t>
            </w:r>
            <w:r>
              <w:rPr>
                <w:shd w:val="clear"/>
              </w:rPr>
              <w:t xml:space="preserve">얻고자 하는 방법입니다. 각각의 모델이 가진 약점을 보완하고 강점을 취함으로써, </w:t>
            </w:r>
            <w:r>
              <w:rPr>
                <w:shd w:val="clear"/>
              </w:rPr>
              <w:t xml:space="preserve">예측의 정확도를 높이고, 과적합을 줄이며, 일반화 성능을 향상시키는 데 </w:t>
            </w:r>
            <w:r>
              <w:rPr>
                <w:shd w:val="clear"/>
              </w:rPr>
              <w:t>사용됩니다.</w:t>
            </w:r>
          </w:p>
          <w:p>
            <w:pPr>
              <w:pStyle w:val="PO10"/>
              <w:numPr>
                <w:numId w:val="35"/>
                <w:ilvl w:val="0"/>
              </w:numPr>
              <w:rPr>
                <w:shd w:val="clear"/>
              </w:rPr>
            </w:pPr>
            <w:r>
              <w:rPr>
                <w:shd w:val="clear"/>
              </w:rPr>
              <w:t xml:space="preserve">Voting (보팅)</w:t>
            </w:r>
            <w:r>
              <w:rPr>
                <w:shd w:val="clear"/>
                <w:rFonts w:hint="eastAsia"/>
              </w:rPr>
              <w:t xml:space="preserve">: </w:t>
            </w:r>
            <w:r>
              <w:rPr>
                <w:shd w:val="clear"/>
              </w:rPr>
              <w:t xml:space="preserve">보팅은 여러 모델의 예측 결과를 결합하여 최종 예측을 만드는 방법입</w:t>
            </w:r>
            <w:r>
              <w:rPr>
                <w:shd w:val="clear"/>
              </w:rPr>
              <w:t xml:space="preserve">니다. 각각의 개별 모델이 독립적으로 예측을 수행한 후, 이 예측들을 결합하여 최종 </w:t>
            </w:r>
            <w:r>
              <w:rPr>
                <w:shd w:val="clear"/>
              </w:rPr>
              <w:t xml:space="preserve">결과를 도출합니다. 소프트 보팅 방식을 활용하여 각각의 모델이 출력한 클래스의 </w:t>
            </w:r>
            <w:r>
              <w:rPr>
                <w:shd w:val="clear"/>
              </w:rPr>
              <w:t xml:space="preserve">확률을 평균 내어 가장 높은 확률을 가진 클래스를 최종 예측으로 선택합니다.</w:t>
            </w:r>
          </w:p>
          <w:p>
            <w:pPr>
              <w:pStyle w:val="PO166"/>
              <w:ind w:left="440" w:firstLine="0" w:leftChars="200"/>
              <w:rPr>
                <w:shd w:val="clear"/>
              </w:rPr>
            </w:pPr>
            <w:r>
              <w:rPr>
                <w:shd w:val="clear"/>
              </w:rPr>
              <w:t xml:space="preserve">XGBClassifier와 LGBMClassifier의 최적 하이퍼파라미터 모델을 결합하여 Voting </w:t>
            </w:r>
            <w:r>
              <w:rPr>
                <w:shd w:val="clear"/>
              </w:rPr>
              <w:t xml:space="preserve">방식을 적용해 모델의 정확도를 테스트하였습니다. 각 모델의 최적 하이퍼파라미터는 </w:t>
            </w:r>
            <w:r>
              <w:rPr>
                <w:shd w:val="clear"/>
              </w:rPr>
              <w:t xml:space="preserve">다음과 같습니다.</w:t>
            </w:r>
          </w:p>
          <w:p>
            <w:pPr>
              <w:pStyle w:val="PO166"/>
              <w:ind w:left="440" w:firstLine="0" w:leftChars="200"/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XGBClassifier의 최적 하이퍼파라미터:</w:t>
            </w:r>
          </w:p>
          <w:p>
            <w:pPr>
              <w:numPr>
                <w:numId w:val="33"/>
                <w:ilvl w:val="0"/>
              </w:numPr>
              <w:spacing w:before="100" w:beforeAutospacing="1" w:after="100" w:afterAutospacing="1"/>
              <w:ind w:left="1161" w:firstLine="0" w:leftChars="3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colsample_bytree: 0.947536499090015</w:t>
            </w:r>
          </w:p>
          <w:p>
            <w:pPr>
              <w:numPr>
                <w:numId w:val="33"/>
                <w:ilvl w:val="0"/>
              </w:numPr>
              <w:spacing w:before="100" w:beforeAutospacing="1" w:after="100" w:afterAutospacing="1"/>
              <w:ind w:left="1161" w:firstLine="0" w:leftChars="3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gamma: 0.28310148651580475</w:t>
            </w:r>
          </w:p>
          <w:p>
            <w:pPr>
              <w:numPr>
                <w:numId w:val="33"/>
                <w:ilvl w:val="0"/>
              </w:numPr>
              <w:spacing w:before="100" w:beforeAutospacing="1" w:after="100" w:afterAutospacing="1"/>
              <w:ind w:left="1161" w:firstLine="0" w:leftChars="3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learning_rate: 0.1300918726059749</w:t>
            </w:r>
          </w:p>
          <w:p>
            <w:pPr>
              <w:numPr>
                <w:numId w:val="33"/>
                <w:ilvl w:val="0"/>
              </w:numPr>
              <w:spacing w:before="100" w:beforeAutospacing="1" w:after="100" w:afterAutospacing="1"/>
              <w:ind w:left="1161" w:firstLine="0" w:leftChars="3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max_depth: 5</w:t>
            </w:r>
          </w:p>
          <w:p>
            <w:pPr>
              <w:numPr>
                <w:numId w:val="33"/>
                <w:ilvl w:val="0"/>
              </w:numPr>
              <w:spacing w:before="100" w:beforeAutospacing="1" w:after="100" w:afterAutospacing="1"/>
              <w:ind w:left="1161" w:firstLine="0" w:leftChars="3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min_child_weight: 2</w:t>
            </w:r>
          </w:p>
          <w:p>
            <w:pPr>
              <w:numPr>
                <w:numId w:val="33"/>
                <w:ilvl w:val="0"/>
              </w:numPr>
              <w:spacing w:before="100" w:beforeAutospacing="1" w:after="100" w:afterAutospacing="1"/>
              <w:ind w:left="1161" w:firstLine="0" w:leftChars="3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n_estimators: 220</w:t>
            </w:r>
          </w:p>
          <w:p>
            <w:pPr>
              <w:pStyle w:val="PO166"/>
              <w:ind w:left="440" w:firstLine="0" w:leftChars="200"/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LGBMClassifier의 최적 하이퍼파라미터:</w:t>
            </w:r>
          </w:p>
          <w:p>
            <w:pPr>
              <w:numPr>
                <w:numId w:val="34"/>
                <w:ilvl w:val="0"/>
              </w:numPr>
              <w:spacing w:before="100" w:beforeAutospacing="1" w:after="100" w:afterAutospacing="1"/>
              <w:ind w:left="1161" w:firstLine="0" w:leftChars="3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colsample_bytree: 0.8115115502834236</w:t>
            </w:r>
          </w:p>
          <w:p>
            <w:pPr>
              <w:numPr>
                <w:numId w:val="34"/>
                <w:ilvl w:val="0"/>
              </w:numPr>
              <w:spacing w:before="100" w:beforeAutospacing="1" w:after="100" w:afterAutospacing="1"/>
              <w:ind w:left="1161" w:firstLine="0" w:leftChars="3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learning_rate: 0.05301025347665236</w:t>
            </w:r>
          </w:p>
          <w:p>
            <w:pPr>
              <w:numPr>
                <w:numId w:val="34"/>
                <w:ilvl w:val="0"/>
              </w:numPr>
              <w:spacing w:before="100" w:beforeAutospacing="1" w:after="100" w:afterAutospacing="1"/>
              <w:ind w:left="1161" w:firstLine="0" w:leftChars="3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min_child_samples: 49</w:t>
            </w:r>
          </w:p>
          <w:p>
            <w:pPr>
              <w:numPr>
                <w:numId w:val="34"/>
                <w:ilvl w:val="0"/>
              </w:numPr>
              <w:spacing w:before="100" w:beforeAutospacing="1" w:after="100" w:afterAutospacing="1"/>
              <w:ind w:left="1161" w:firstLine="0" w:leftChars="3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min_split_gain: 0.6047767141120094</w:t>
            </w:r>
          </w:p>
          <w:p>
            <w:pPr>
              <w:numPr>
                <w:numId w:val="34"/>
                <w:ilvl w:val="0"/>
              </w:numPr>
              <w:spacing w:before="100" w:beforeAutospacing="1" w:after="100" w:afterAutospacing="1"/>
              <w:ind w:left="1161" w:firstLine="0" w:leftChars="3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n_estimators: 267</w:t>
            </w:r>
          </w:p>
          <w:p>
            <w:pPr>
              <w:numPr>
                <w:numId w:val="34"/>
                <w:ilvl w:val="0"/>
              </w:numPr>
              <w:spacing w:before="100" w:beforeAutospacing="1" w:after="100" w:afterAutospacing="1"/>
              <w:ind w:left="1161" w:firstLine="0" w:leftChars="3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num_leaves: 183</w:t>
            </w:r>
          </w:p>
          <w:p>
            <w:pPr>
              <w:numPr>
                <w:numId w:val="34"/>
                <w:ilvl w:val="0"/>
              </w:numPr>
              <w:spacing w:before="100" w:beforeAutospacing="1" w:after="100" w:afterAutospacing="1"/>
              <w:ind w:left="1161" w:firstLine="0" w:leftChars="3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reg_alpha: 0.24383119653567353</w:t>
            </w:r>
          </w:p>
          <w:p>
            <w:pPr>
              <w:numPr>
                <w:numId w:val="34"/>
                <w:ilvl w:val="0"/>
              </w:numPr>
              <w:spacing w:before="100" w:beforeAutospacing="1" w:after="100" w:afterAutospacing="1"/>
              <w:ind w:left="1161" w:firstLine="0" w:leftChars="3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reg_lambda: 6.961964813669102</w:t>
            </w:r>
          </w:p>
          <w:p>
            <w:pPr>
              <w:numPr>
                <w:numId w:val="34"/>
                <w:ilvl w:val="0"/>
              </w:numPr>
              <w:spacing w:before="100" w:beforeAutospacing="1" w:after="100" w:afterAutospacing="1"/>
              <w:ind w:left="1161" w:firstLine="0" w:leftChars="3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subsample: 0.8280708153469658</w:t>
            </w:r>
          </w:p>
          <w:p>
            <w:pPr>
              <w:pStyle w:val="PO166"/>
              <w:ind w:left="440" w:firstLine="0" w:leftChars="200"/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Voting Ensemble의 정확도는 다음과 같습니다: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Look w:val="0004A0" w:firstRow="1" w:lastRow="0" w:firstColumn="1" w:lastColumn="0" w:noHBand="0" w:noVBand="1"/>
              <w:tblLayout w:type="auto"/>
            </w:tblPr>
            <w:tblGrid>
              <w:gridCol w:w="4655"/>
              <w:gridCol w:w="4656"/>
            </w:tblGrid>
            <w:tr>
              <w:trPr/>
              <w:tc>
                <w:tcPr>
                  <w:tcW w:type="dxa" w:w="465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모델</w:t>
                  </w:r>
                </w:p>
              </w:tc>
              <w:tc>
                <w:tcPr>
                  <w:tcW w:type="dxa" w:w="4656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Voting Ensemble Test Accuracy</w:t>
                  </w:r>
                </w:p>
              </w:tc>
            </w:tr>
            <w:tr>
              <w:trPr/>
              <w:tc>
                <w:tcPr>
                  <w:tcW w:type="dxa" w:w="465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Base Model</w:t>
                  </w:r>
                </w:p>
              </w:tc>
              <w:tc>
                <w:tcPr>
                  <w:tcW w:type="dxa" w:w="4656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0.6819</w:t>
                  </w:r>
                </w:p>
              </w:tc>
            </w:tr>
            <w:tr>
              <w:trPr/>
              <w:tc>
                <w:tcPr>
                  <w:tcW w:type="dxa" w:w="465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K-Fold: 5</w:t>
                  </w:r>
                </w:p>
              </w:tc>
              <w:tc>
                <w:tcPr>
                  <w:tcW w:type="dxa" w:w="4656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0.6966 ± 0.0074</w:t>
                  </w:r>
                </w:p>
              </w:tc>
            </w:tr>
            <w:tr>
              <w:trPr/>
              <w:tc>
                <w:tcPr>
                  <w:tcW w:type="dxa" w:w="465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K-Fold: 10 </w:t>
                  </w:r>
                </w:p>
              </w:tc>
              <w:tc>
                <w:tcPr>
                  <w:tcW w:type="dxa" w:w="4656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0.7013 ± 0.0086</w:t>
                  </w:r>
                </w:p>
              </w:tc>
            </w:tr>
            <w:tr>
              <w:trPr/>
              <w:tc>
                <w:tcPr>
                  <w:tcW w:type="dxa" w:w="4655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K-Fold: 15</w:t>
                  </w:r>
                </w:p>
              </w:tc>
              <w:tc>
                <w:tcPr>
                  <w:tcW w:type="dxa" w:w="4656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0.7033 ± 0.0100</w:t>
                  </w:r>
                </w:p>
              </w:tc>
            </w:tr>
            <w:tr>
              <w:trPr/>
              <w:tc>
                <w:tcPr>
                  <w:tcW w:type="dxa" w:w="465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K-Fold: 20</w:t>
                  </w:r>
                </w:p>
              </w:tc>
              <w:tc>
                <w:tcPr>
                  <w:tcW w:type="dxa" w:w="4656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0.7027 ± 0.0178</w:t>
                  </w:r>
                </w:p>
              </w:tc>
            </w:tr>
          </w:tbl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Voting Ensemble Model의 기본 정확도는 0.68로 LGBM Optuna 모델의 결과와 </w:t>
            </w:r>
            <w:r>
              <w:rPr>
                <w:shd w:val="clear"/>
              </w:rPr>
              <w:t xml:space="preserve">동일하며, K-fold에서는 미세하게 낮은 정확도를 도출한 것으로 나타났습니다.</w:t>
            </w:r>
          </w:p>
          <w:p>
            <w:pPr>
              <w:pStyle w:val="PO10"/>
              <w:numPr>
                <w:numId w:val="35"/>
                <w:ilvl w:val="0"/>
              </w:numPr>
              <w:rPr>
                <w:shd w:val="clear"/>
              </w:rPr>
            </w:pPr>
            <w:r>
              <w:rPr>
                <w:shd w:val="clear"/>
              </w:rPr>
              <w:t xml:space="preserve">Stacking (스태킹)</w:t>
            </w:r>
            <w:r>
              <w:rPr>
                <w:shd w:val="clear"/>
                <w:rFonts w:hint="eastAsia"/>
              </w:rPr>
              <w:t xml:space="preserve">: </w:t>
            </w:r>
            <w:r>
              <w:rPr>
                <w:shd w:val="clear"/>
              </w:rPr>
              <w:t xml:space="preserve">스태킹은 여러 모델의 예측 결과를 새로운 모델의 입력으로 사용</w:t>
            </w:r>
            <w:r>
              <w:rPr>
                <w:shd w:val="clear"/>
              </w:rPr>
              <w:t xml:space="preserve">하여 최종 예측을 만드는 방법입니다. 보팅과 달리 스태킹은 메타 모델을 사용하여 </w:t>
            </w:r>
            <w:r>
              <w:rPr>
                <w:shd w:val="clear"/>
              </w:rPr>
              <w:t xml:space="preserve">개별 모델들의 예측을 조합합니다.</w:t>
            </w:r>
          </w:p>
          <w:p>
            <w:pPr>
              <w:numPr>
                <w:numId w:val="36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기본 모델</w:t>
            </w:r>
            <w:r>
              <w:rPr>
                <w:shd w:val="clear"/>
              </w:rPr>
              <w:t xml:space="preserve">: 여러 개의 기본 모델을 학습시킵니다. 이 모델들은 서로 다른 </w:t>
            </w:r>
            <w:r>
              <w:rPr>
                <w:shd w:val="clear"/>
              </w:rPr>
              <w:t xml:space="preserve">알고리즘이나 하이퍼파라미터를 사용할 수 있습니다.</w:t>
            </w:r>
          </w:p>
          <w:p>
            <w:pPr>
              <w:numPr>
                <w:numId w:val="36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메타 모델</w:t>
            </w:r>
            <w:r>
              <w:rPr>
                <w:shd w:val="clear"/>
              </w:rPr>
              <w:t xml:space="preserve">: 기본 모델들이 예측한 결과를 입력으로 받아 최종 예측을 수행하는 </w:t>
            </w:r>
            <w:r>
              <w:rPr>
                <w:shd w:val="clear"/>
              </w:rPr>
              <w:t xml:space="preserve">모델입니다. 메타 모델은 기본 모델의 예측을 특징으로 사용하여 학습합니다.</w:t>
            </w:r>
          </w:p>
          <w:p>
            <w:pPr>
              <w:pStyle w:val="PO166"/>
              <w:ind w:left="220" w:firstLine="0" w:leftChars="100"/>
              <w:rPr>
                <w:shd w:val="clear"/>
              </w:rPr>
            </w:pPr>
            <w:r>
              <w:rPr>
                <w:shd w:val="clear"/>
              </w:rPr>
              <w:t xml:space="preserve">LGBMClassifier의 최적 하이퍼파라미터 모델에 메타 모델을 추가하여 Stacking 모델을 </w:t>
            </w:r>
            <w:r>
              <w:rPr>
                <w:shd w:val="clear"/>
              </w:rPr>
              <w:t xml:space="preserve">테스트하였습니다. 각 모델의 최적 하이퍼파라미터 값은 다음과 같습니다.</w:t>
            </w:r>
          </w:p>
          <w:p>
            <w:pPr>
              <w:pStyle w:val="PO166"/>
              <w:ind w:left="440" w:firstLine="0" w:leftChars="200"/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LGBMClassifier의 최적 하이퍼파라미터:</w:t>
            </w:r>
          </w:p>
          <w:p>
            <w:pPr>
              <w:numPr>
                <w:numId w:val="37"/>
                <w:ilvl w:val="0"/>
              </w:numPr>
              <w:spacing w:before="100" w:beforeAutospacing="1" w:after="100" w:afterAutospacing="1"/>
              <w:ind w:left="1161" w:firstLine="0" w:leftChars="3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colsample_bytree: 0.7333231436132019</w:t>
            </w:r>
          </w:p>
          <w:p>
            <w:pPr>
              <w:numPr>
                <w:numId w:val="37"/>
                <w:ilvl w:val="0"/>
              </w:numPr>
              <w:spacing w:before="100" w:beforeAutospacing="1" w:after="100" w:afterAutospacing="1"/>
              <w:ind w:left="1161" w:firstLine="0" w:leftChars="3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learning_rate: 0.12693737659589577</w:t>
            </w:r>
          </w:p>
          <w:p>
            <w:pPr>
              <w:numPr>
                <w:numId w:val="37"/>
                <w:ilvl w:val="0"/>
              </w:numPr>
              <w:spacing w:before="100" w:beforeAutospacing="1" w:after="100" w:afterAutospacing="1"/>
              <w:ind w:left="1161" w:firstLine="0" w:leftChars="3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min_child_samples: 49</w:t>
            </w:r>
          </w:p>
          <w:p>
            <w:pPr>
              <w:numPr>
                <w:numId w:val="37"/>
                <w:ilvl w:val="0"/>
              </w:numPr>
              <w:spacing w:before="100" w:beforeAutospacing="1" w:after="100" w:afterAutospacing="1"/>
              <w:ind w:left="1161" w:firstLine="0" w:leftChars="3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min_split_gain: 0.27225519315678226</w:t>
            </w:r>
          </w:p>
          <w:p>
            <w:pPr>
              <w:numPr>
                <w:numId w:val="37"/>
                <w:ilvl w:val="0"/>
              </w:numPr>
              <w:spacing w:before="100" w:beforeAutospacing="1" w:after="100" w:afterAutospacing="1"/>
              <w:ind w:left="1161" w:firstLine="0" w:leftChars="3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n_estimators: 193</w:t>
            </w:r>
          </w:p>
          <w:p>
            <w:pPr>
              <w:numPr>
                <w:numId w:val="37"/>
                <w:ilvl w:val="0"/>
              </w:numPr>
              <w:spacing w:before="100" w:beforeAutospacing="1" w:after="100" w:afterAutospacing="1"/>
              <w:ind w:left="1161" w:firstLine="0" w:leftChars="3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num_leaves: 25</w:t>
            </w:r>
          </w:p>
          <w:p>
            <w:pPr>
              <w:numPr>
                <w:numId w:val="37"/>
                <w:ilvl w:val="0"/>
              </w:numPr>
              <w:spacing w:before="100" w:beforeAutospacing="1" w:after="100" w:afterAutospacing="1"/>
              <w:ind w:left="1161" w:firstLine="0" w:leftChars="3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reg_alpha: 1.309780288948493</w:t>
            </w:r>
          </w:p>
          <w:p>
            <w:pPr>
              <w:numPr>
                <w:numId w:val="37"/>
                <w:ilvl w:val="0"/>
              </w:numPr>
              <w:spacing w:before="100" w:beforeAutospacing="1" w:after="100" w:afterAutospacing="1"/>
              <w:ind w:left="1161" w:firstLine="0" w:leftChars="3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reg_lambda: 0.27599843896866716</w:t>
            </w:r>
          </w:p>
          <w:p>
            <w:pPr>
              <w:numPr>
                <w:numId w:val="37"/>
                <w:ilvl w:val="0"/>
              </w:numPr>
              <w:spacing w:before="100" w:beforeAutospacing="1" w:after="100" w:afterAutospacing="1"/>
              <w:ind w:left="1161" w:firstLine="0" w:leftChars="364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subsample: 0.8352629679425484</w:t>
            </w:r>
          </w:p>
          <w:p>
            <w:pPr>
              <w:pStyle w:val="PO166"/>
              <w:ind w:left="440" w:firstLine="0" w:leftChars="200"/>
              <w:rPr>
                <w:shd w:val="clear"/>
              </w:rPr>
            </w:pPr>
            <w:r>
              <w:rPr>
                <w:shd w:val="clear"/>
              </w:rPr>
              <w:t xml:space="preserve">메타 모델은 Logistic Regression, RandomForest, Gradient Boosting, MLP </w:t>
            </w:r>
            <w:r>
              <w:rPr>
                <w:shd w:val="clear"/>
              </w:rPr>
              <w:t xml:space="preserve">Classifier를 사용하여 모델의 안정성을 높이기 위해 K-Fold 5회를 진행하였습니다. </w:t>
            </w:r>
            <w:r>
              <w:rPr>
                <w:shd w:val="clear"/>
              </w:rPr>
              <w:t xml:space="preserve">결과는 다음과 같습니다.</w:t>
            </w:r>
          </w:p>
          <w:p>
            <w:pPr>
              <w:pStyle w:val="PO166"/>
              <w:ind w:left="440" w:firstLine="0" w:leftChars="200"/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Stacking Model 성능: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Look w:val="0004A0" w:firstRow="1" w:lastRow="0" w:firstColumn="1" w:lastColumn="0" w:noHBand="0" w:noVBand="1"/>
              <w:tblLayout w:type="auto"/>
            </w:tblPr>
            <w:tblGrid>
              <w:gridCol w:w="4655"/>
              <w:gridCol w:w="4656"/>
            </w:tblGrid>
            <w:tr>
              <w:trPr/>
              <w:tc>
                <w:tcPr>
                  <w:tcW w:type="dxa" w:w="465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Stacking Model</w:t>
                  </w:r>
                </w:p>
              </w:tc>
              <w:tc>
                <w:tcPr>
                  <w:tcW w:type="dxa" w:w="4656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Test Accuracy</w:t>
                  </w:r>
                </w:p>
              </w:tc>
            </w:tr>
            <w:tr>
              <w:trPr/>
              <w:tc>
                <w:tcPr>
                  <w:tcW w:type="dxa" w:w="465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Logistic Regression Stacking</w:t>
                  </w:r>
                </w:p>
              </w:tc>
              <w:tc>
                <w:tcPr>
                  <w:tcW w:type="dxa" w:w="4656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0.6593</w:t>
                  </w:r>
                </w:p>
              </w:tc>
            </w:tr>
            <w:tr>
              <w:trPr/>
              <w:tc>
                <w:tcPr>
                  <w:tcW w:type="dxa" w:w="465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Logistic Regression Stacking (k-fold 5)</w:t>
                  </w:r>
                </w:p>
              </w:tc>
              <w:tc>
                <w:tcPr>
                  <w:tcW w:type="dxa" w:w="4656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0.6632 ± 0.0083</w:t>
                  </w:r>
                </w:p>
              </w:tc>
            </w:tr>
            <w:tr>
              <w:trPr/>
              <w:tc>
                <w:tcPr>
                  <w:tcW w:type="dxa" w:w="4655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Random Forest Stacking</w:t>
                  </w:r>
                </w:p>
              </w:tc>
              <w:tc>
                <w:tcPr>
                  <w:tcW w:type="dxa" w:w="4656"/>
                  <w:vAlign w:val="top"/>
                </w:tcPr>
                <w:p>
                  <w:pPr>
                    <w:jc w:val="both"/>
                    <w:spacing w:lineRule="auto" w:line="335"/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b w:val="1"/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0.6605</w:t>
                  </w:r>
                </w:p>
              </w:tc>
            </w:tr>
            <w:tr>
              <w:trPr/>
              <w:tc>
                <w:tcPr>
                  <w:tcW w:type="dxa" w:w="465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Random Forest Stacking (k-fold 5)</w:t>
                  </w:r>
                </w:p>
              </w:tc>
              <w:tc>
                <w:tcPr>
                  <w:tcW w:type="dxa" w:w="4656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0.6365 ± 0.0091</w:t>
                  </w:r>
                </w:p>
              </w:tc>
            </w:tr>
            <w:tr>
              <w:trPr/>
              <w:tc>
                <w:tcPr>
                  <w:tcW w:type="dxa" w:w="465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Gradient Boosting Stacking</w:t>
                  </w:r>
                </w:p>
              </w:tc>
              <w:tc>
                <w:tcPr>
                  <w:tcW w:type="dxa" w:w="4656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0.06268</w:t>
                  </w:r>
                </w:p>
              </w:tc>
            </w:tr>
            <w:tr>
              <w:trPr/>
              <w:tc>
                <w:tcPr>
                  <w:tcW w:type="dxa" w:w="465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Gradient Boosting Stacking (k-fold 5)</w:t>
                  </w:r>
                </w:p>
              </w:tc>
              <w:tc>
                <w:tcPr>
                  <w:tcW w:type="dxa" w:w="4656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0.6189 ± 0.0074</w:t>
                  </w:r>
                </w:p>
              </w:tc>
            </w:tr>
            <w:tr>
              <w:trPr/>
              <w:tc>
                <w:tcPr>
                  <w:tcW w:type="dxa" w:w="465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MLP Classifier Stacking</w:t>
                  </w:r>
                </w:p>
              </w:tc>
              <w:tc>
                <w:tcPr>
                  <w:tcW w:type="dxa" w:w="4656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0.6575</w:t>
                  </w:r>
                </w:p>
              </w:tc>
            </w:tr>
            <w:tr>
              <w:trPr/>
              <w:tc>
                <w:tcPr>
                  <w:tcW w:type="dxa" w:w="465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MLP Classifier Stacking (K-fold 5)</w:t>
                  </w:r>
                </w:p>
              </w:tc>
              <w:tc>
                <w:tcPr>
                  <w:tcW w:type="dxa" w:w="4656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0.6480 ± 0.0047</w:t>
                  </w:r>
                </w:p>
              </w:tc>
            </w:tr>
          </w:tbl>
          <w:p>
            <w:pPr>
              <w:jc w:val="left"/>
              <w:spacing w:lineRule="auto" w:line="240" w:before="0" w:after="0"/>
              <w:ind w:left="0" w:right="0" w:firstLine="0"/>
              <w:rPr>
                <w:shd w:val="clear"/>
              </w:rPr>
            </w:pP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Stacking Model의 경우, 오히려 성능이 떨어진 것을 확인할 수 있었습니다.</w:t>
            </w:r>
          </w:p>
          <w:p>
            <w:pPr>
              <w:pStyle w:val="PO166"/>
              <w:numPr>
                <w:numId w:val="5"/>
                <w:ilvl w:val="0"/>
              </w:numPr>
              <w:rPr>
                <w:rStyle w:val="PO20"/>
                <w:shd w:val="clear"/>
              </w:rPr>
            </w:pPr>
            <w:r>
              <w:rPr>
                <w:rStyle w:val="PO20"/>
                <w:shd w:val="clear"/>
                <w:rFonts w:hint="eastAsia"/>
              </w:rPr>
              <w:t xml:space="preserve">Deep Learning </w:t>
            </w:r>
          </w:p>
          <w:p>
            <w:p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딥러닝은 대규모 데이터셋을 통해 복잡한 패턴과 특성을 학습하는 기법으로, 여러 층(layer)으로 </w:t>
            </w:r>
            <w:r>
              <w:rPr>
                <w:shd w:val="clear"/>
              </w:rPr>
              <w:t xml:space="preserve">구성된 신경망을 통해 입력 데이터를 점진적으로 처리하며, 각 층은 입력 데이터의 추상화된 </w:t>
            </w:r>
            <w:r>
              <w:rPr>
                <w:shd w:val="clear"/>
              </w:rPr>
              <w:t xml:space="preserve">표현을 학습합니다.</w:t>
            </w:r>
            <w:r>
              <w:rPr>
                <w:shd w:val="clear"/>
                <w:rFonts w:hint="eastAsia"/>
              </w:rPr>
              <w:t xml:space="preserve"> 다</w:t>
            </w:r>
            <w:r>
              <w:rPr>
                <w:shd w:val="clear"/>
              </w:rPr>
              <w:t xml:space="preserve">음과 같은 딥러닝 모델을 정의하여 사용하였습니다.</w:t>
            </w:r>
          </w:p>
          <w:p>
            <w:p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[모델 정의]</w:t>
            </w:r>
          </w:p>
          <w:p>
            <w:pPr>
              <w:pStyle w:val="PO26"/>
              <w:numPr>
                <w:numId w:val="26"/>
                <w:ilvl w:val="0"/>
              </w:numPr>
              <w:spacing w:after="0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첫 번째 층: 입력 크기에서 512 유닛으로 변환, ReLU 활성화 함수와 드롭아웃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>적용</w:t>
            </w:r>
          </w:p>
          <w:p>
            <w:pPr>
              <w:pStyle w:val="PO26"/>
              <w:numPr>
                <w:numId w:val="26"/>
                <w:ilvl w:val="0"/>
              </w:numPr>
              <w:spacing w:after="0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두 번째 층: 512 유닛에서 256 유닛으로 변환, ReLU 활성화 함수와 드롭아웃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>적용</w:t>
            </w:r>
          </w:p>
          <w:p>
            <w:pPr>
              <w:pStyle w:val="PO26"/>
              <w:numPr>
                <w:numId w:val="26"/>
                <w:ilvl w:val="0"/>
              </w:numPr>
              <w:spacing w:after="0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세 번째 층: 256 유닛에서 128 유닛으로 변환, ReLU 활성화 함수와 드롭아웃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>적용</w:t>
            </w:r>
          </w:p>
          <w:p>
            <w:pPr>
              <w:pStyle w:val="PO26"/>
              <w:numPr>
                <w:numId w:val="26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네 번째 층: 128 유닛에서 클래스 개수만큼 변환 (출력층)</w:t>
            </w:r>
          </w:p>
          <w:p>
            <w:p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</w:p>
          <w:p>
            <w:p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[모델 학습] </w:t>
            </w:r>
          </w:p>
          <w:p>
            <w:pPr>
              <w:pStyle w:val="PO26"/>
              <w:numPr>
                <w:numId w:val="26"/>
                <w:ilvl w:val="0"/>
              </w:numPr>
              <w:spacing w:after="0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z w:val="24"/>
                <w:szCs w:val="24"/>
                <w:shd w:val="clear"/>
                <w:rFonts w:ascii="굴림" w:eastAsia="굴림" w:hAnsi="굴림" w:cs="굴림"/>
              </w:rPr>
              <w:t xml:space="preserve">손실 함수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: 교차 엔트로피 손실 함수(</w:t>
            </w:r>
            <w:r>
              <w:rPr>
                <w:sz w:val="24"/>
                <w:szCs w:val="24"/>
                <w:shd w:val="clear"/>
                <w:rFonts w:ascii="굴림체" w:eastAsia="굴림체" w:hAnsi="굴림체" w:cs="굴림체"/>
              </w:rPr>
              <w:t>nn.CrossEntropyLoss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)를 사용</w:t>
            </w:r>
          </w:p>
          <w:p>
            <w:pPr>
              <w:pStyle w:val="PO26"/>
              <w:numPr>
                <w:numId w:val="26"/>
                <w:ilvl w:val="0"/>
              </w:numPr>
              <w:spacing w:after="0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z w:val="24"/>
                <w:szCs w:val="24"/>
                <w:shd w:val="clear"/>
                <w:rFonts w:ascii="굴림" w:eastAsia="굴림" w:hAnsi="굴림" w:cs="굴림"/>
              </w:rPr>
              <w:t>옵티마이저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: Adam 옵티마이저(</w:t>
            </w:r>
            <w:r>
              <w:rPr>
                <w:sz w:val="24"/>
                <w:szCs w:val="24"/>
                <w:shd w:val="clear"/>
                <w:rFonts w:ascii="굴림체" w:eastAsia="굴림체" w:hAnsi="굴림체" w:cs="굴림체"/>
              </w:rPr>
              <w:t>optim.Adam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)를 사용하여 모델의 가중치를 업데이트</w:t>
            </w:r>
          </w:p>
          <w:p>
            <w:pPr>
              <w:pStyle w:val="PO26"/>
              <w:numPr>
                <w:numId w:val="26"/>
                <w:ilvl w:val="0"/>
              </w:numPr>
              <w:spacing w:after="0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z w:val="24"/>
                <w:szCs w:val="24"/>
                <w:shd w:val="clear"/>
                <w:rFonts w:ascii="굴림" w:eastAsia="굴림" w:hAnsi="굴림" w:cs="굴림"/>
              </w:rPr>
              <w:t xml:space="preserve">학습 함수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: </w:t>
            </w:r>
            <w:r>
              <w:rPr>
                <w:sz w:val="24"/>
                <w:szCs w:val="24"/>
                <w:shd w:val="clear"/>
                <w:rFonts w:ascii="굴림체" w:eastAsia="굴림체" w:hAnsi="굴림체" w:cs="굴림체"/>
              </w:rPr>
              <w:t>train_model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 함수는 학습(train)과 검증(validation) 데이터셋을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사용하여 모델을 학습시키고, 에포크(epoch)마다 검증 정확도를 계산하여 가장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높은 검증 정확도를 기록한 모델을 저장</w:t>
            </w:r>
          </w:p>
          <w:p>
            <w:pPr>
              <w:pStyle w:val="PO26"/>
              <w:numPr>
                <w:numId w:val="26"/>
                <w:ilvl w:val="0"/>
              </w:numPr>
              <w:spacing w:before="100" w:beforeAutospacing="1"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각 에포크에서 학습 손실(train loss)과 검증 손실(val loss)을 계산하고, 검증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데이터셋에 대한 정확도(val accuracy)를 평가</w:t>
            </w:r>
          </w:p>
          <w:p>
            <w:pPr>
              <w:pStyle w:val="PO26"/>
              <w:numPr>
                <w:numId w:val="26"/>
                <w:ilvl w:val="0"/>
              </w:numPr>
              <w:spacing w:before="100" w:beforeAutospacing="1"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검증 정확도가 향상될 때마다 모델의 가중치를 저장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Look w:val="0004A0" w:firstRow="1" w:lastRow="0" w:firstColumn="1" w:lastColumn="0" w:noHBand="0" w:noVBand="1"/>
              <w:tblLayout w:type="auto"/>
            </w:tblPr>
            <w:tblGrid>
              <w:gridCol w:w="4655"/>
              <w:gridCol w:w="4656"/>
            </w:tblGrid>
            <w:tr>
              <w:trPr/>
              <w:tc>
                <w:tcPr>
                  <w:tcW w:type="dxa" w:w="465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Model</w:t>
                  </w:r>
                </w:p>
              </w:tc>
              <w:tc>
                <w:tcPr>
                  <w:tcW w:type="dxa" w:w="4656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Test Accuracy</w:t>
                  </w:r>
                </w:p>
              </w:tc>
            </w:tr>
            <w:tr>
              <w:trPr/>
              <w:tc>
                <w:tcPr>
                  <w:tcW w:type="dxa" w:w="4655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 xml:space="preserve">Deep Learning Model</w:t>
                  </w:r>
                </w:p>
              </w:tc>
              <w:tc>
                <w:tcPr>
                  <w:tcW w:type="dxa" w:w="4656"/>
                  <w:vAlign w:val="top"/>
                </w:tcPr>
                <w:p>
                  <w:pPr>
                    <w:jc w:val="both"/>
                    <w:spacing w:lineRule="auto" w:line="335"/>
                    <w:rPr>
                      <w:color w:val="000000"/>
                      <w:shd w:val="clear"/>
                      <w:rFonts w:cs="굴림" w:asciiTheme="majorHAnsi" w:eastAsiaTheme="majorHAnsi" w:hAnsiTheme="majorHAnsi"/>
                    </w:rPr>
                    <w:wordWrap w:val="1"/>
                    <w:widowControl w:val="1"/>
                    <w:autoSpaceDE w:val="1"/>
                    <w:autoSpaceDN w:val="1"/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0.5524</w:t>
                  </w:r>
                </w:p>
              </w:tc>
            </w:tr>
          </w:tbl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최종적으로 0.5524의 정확도를 나타냈습니다. 11,000개의 적은 데이터셋으로 학습을 </w:t>
            </w:r>
            <w:r>
              <w:rPr>
                <w:shd w:val="clear"/>
              </w:rPr>
              <w:t xml:space="preserve">진행하다 보니, 복잡한 패턴을 학습하지 못하여 정확도가 높게 나오지 않았습니다.</w:t>
            </w:r>
          </w:p>
          <w:p>
            <w:pPr>
              <w:pStyle w:val="PO166"/>
              <w:rPr>
                <w:shd w:val="clear"/>
              </w:rPr>
            </w:pPr>
            <w:bookmarkStart w:id="1" w:name="_Hlk170635751"/>
          </w:p>
          <w:p>
            <w:pPr>
              <w:pStyle w:val="PO7"/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전국 추천 모델 생성 및 인사이트 </w:t>
            </w:r>
          </w:p>
          <w:p>
            <w:pPr>
              <w:pStyle w:val="PO166"/>
              <w:numPr>
                <w:numId w:val="33"/>
                <w:ilvl w:val="1"/>
              </w:numPr>
              <w:rPr>
                <w:rStyle w:val="PO20"/>
                <w:shd w:val="clear"/>
              </w:rPr>
            </w:pPr>
            <w:r>
              <w:rPr>
                <w:rStyle w:val="PO20"/>
                <w:shd w:val="clear"/>
                <w:rFonts w:hint="eastAsia"/>
              </w:rPr>
              <w:t xml:space="preserve">전국 모델 생성</w:t>
            </w:r>
          </w:p>
          <w:p>
            <w:pPr>
              <w:pStyle w:val="PO26"/>
              <w:jc w:val="both"/>
              <w:spacing w:lineRule="auto" w:line="335" w:after="0"/>
              <w:ind w:left="80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지금까지는 서울시 공장 데이터로 전처리, 분석을 진행하여 최적의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구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 추천 모델 생성에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관한 것을 파악하였다. 이를 바탕으로 서울시 뿐만 아니라 전국 지자체의 모델을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생성하여 정확도 및 분석을 진행하였다. </w:t>
            </w:r>
          </w:p>
          <w:p>
            <w:pPr>
              <w:pStyle w:val="PO26"/>
              <w:jc w:val="both"/>
              <w:spacing w:lineRule="auto" w:line="335" w:after="0"/>
              <w:ind w:left="80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전국 모델을 생성하는데 있어 다음과 같이 진행하였다. </w:t>
            </w:r>
          </w:p>
          <w:p>
            <w:pPr>
              <w:pStyle w:val="PO26"/>
              <w:numPr>
                <w:numId w:val="27"/>
                <w:ilvl w:val="2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전처리를 진행하여도 성능이 크게 좋아지지 않으며 모델의 통일성을 위해서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전처리는 진행하지 않았다.</w:t>
            </w:r>
          </w:p>
          <w:p>
            <w:pPr>
              <w:pStyle w:val="PO26"/>
              <w:numPr>
                <w:numId w:val="27"/>
                <w:ilvl w:val="2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O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ptuna를 통해서 최적의 하이퍼 파라미터를 선정하였다.</w:t>
            </w:r>
          </w:p>
          <w:p>
            <w:pPr>
              <w:pStyle w:val="PO26"/>
              <w:numPr>
                <w:numId w:val="27"/>
                <w:ilvl w:val="2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모델의 안전성 및 성능 향상을 위해 Cross-Validation을 사용하였다.</w:t>
            </w:r>
          </w:p>
          <w:p>
            <w:pPr>
              <w:pStyle w:val="PO26"/>
              <w:numPr>
                <w:numId w:val="28"/>
                <w:ilvl w:val="0"/>
              </w:numPr>
              <w:jc w:val="both"/>
              <w:spacing w:lineRule="auto" w:line="335" w:after="0"/>
              <w:rPr>
                <w:b w:val="1"/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color w:val="000000"/>
                <w:shd w:val="clear"/>
                <w:rFonts w:cs="굴림" w:asciiTheme="majorHAnsi" w:eastAsiaTheme="majorHAnsi" w:hAnsiTheme="majorHAnsi" w:hint="eastAsia"/>
              </w:rPr>
              <w:t>강원도</w:t>
            </w:r>
          </w:p>
          <w:p>
            <w:pPr>
              <w:pStyle w:val="PO26"/>
              <w:numPr>
                <w:numId w:val="26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강원도 공장 데이터의 경우 총 3812개의 데이터가 존재하였다. 총 18개의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시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군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으로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분류하였다.</w:t>
            </w:r>
          </w:p>
          <w:p>
            <w:pPr>
              <w:pStyle w:val="PO26"/>
              <w:jc w:val="both"/>
              <w:spacing w:lineRule="auto" w:line="335" w:after="0"/>
              <w:ind w:left="80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385445"/>
                  <wp:effectExtent l="0" t="0" r="2540" b="0"/>
                  <wp:docPr id="5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:/Users/vivid/AppData/Roaming/PolarisOffice/ETemp/9552_11243624/image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8608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대표업종 코드 23322, 27199, 10212, 25112, 26421 레미콘</w:t>
            </w:r>
            <w:r>
              <w:rPr>
                <w:shd w:val="clear"/>
              </w:rPr>
              <w:t xml:space="preserve"> 제조업</w:t>
            </w:r>
            <w:r>
              <w:rPr>
                <w:shd w:val="clear"/>
                <w:rFonts w:hint="eastAsia"/>
              </w:rPr>
              <w:t xml:space="preserve">, 그</w:t>
            </w:r>
            <w:r>
              <w:rPr>
                <w:shd w:val="clear"/>
              </w:rPr>
              <w:t xml:space="preserve"> 외 기타 의료용 기</w:t>
            </w:r>
            <w:r>
              <w:rPr>
                <w:shd w:val="clear"/>
              </w:rPr>
              <w:t xml:space="preserve">기 제조업</w:t>
            </w:r>
            <w:r>
              <w:rPr>
                <w:shd w:val="clear"/>
                <w:rFonts w:hint="eastAsia"/>
              </w:rPr>
              <w:t xml:space="preserve">, 수산동물</w:t>
            </w:r>
            <w:r>
              <w:rPr>
                <w:shd w:val="clear"/>
              </w:rPr>
              <w:t xml:space="preserve"> 건조 및 염장품 제조업</w:t>
            </w:r>
            <w:r>
              <w:rPr>
                <w:shd w:val="clear"/>
                <w:rFonts w:hint="eastAsia"/>
              </w:rPr>
              <w:t xml:space="preserve">, 구조용</w:t>
            </w:r>
            <w:r>
              <w:rPr>
                <w:shd w:val="clear"/>
              </w:rPr>
              <w:t xml:space="preserve"> 금속 판제품 및 공작물 제조업</w:t>
            </w:r>
            <w:r>
              <w:rPr>
                <w:shd w:val="clear"/>
                <w:rFonts w:hint="eastAsia"/>
              </w:rPr>
              <w:t xml:space="preserve">, 방송</w:t>
            </w:r>
            <w:r>
              <w:rPr>
                <w:shd w:val="clear"/>
                <w:rFonts w:hint="eastAsia"/>
              </w:rPr>
              <w:t>장비</w:t>
            </w:r>
            <w:r>
              <w:rPr>
                <w:shd w:val="clear"/>
              </w:rPr>
              <w:t xml:space="preserve"> 제조업</w:t>
            </w:r>
            <w:r>
              <w:rPr>
                <w:shd w:val="clear"/>
                <w:rFonts w:hint="eastAsia"/>
              </w:rPr>
              <w:t xml:space="preserve"> 순서로 업종들이 차지하는 것을 볼 수 있다. </w:t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예측 정확도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800" w:type="dxa"/>
              <w:tblLook w:val="0004A0" w:firstRow="1" w:lastRow="0" w:firstColumn="1" w:lastColumn="0" w:noHBand="0" w:noVBand="1"/>
              <w:tblLayout w:type="auto"/>
            </w:tblPr>
            <w:tblGrid>
              <w:gridCol w:w="4548"/>
              <w:gridCol w:w="4570"/>
            </w:tblGrid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Model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Test Accuracy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강원도 시/군 예측 기본 모델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0.4738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0.4932 ± 0.0185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10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0.4987 ± 0.0249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K-fold 15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0.4987 ± 0.0262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20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0.4976 ± 0.0428</w:t>
                  </w:r>
                </w:p>
              </w:tc>
            </w:tr>
          </w:tbl>
          <w:p>
            <w:pPr>
              <w:ind w:left="440" w:firstLine="0" w:leftChars="200"/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강원도 지역 18개의 시/군 예측 모델의 정확도는 대략 50%로 볼 수 있다.</w:t>
            </w:r>
          </w:p>
          <w:p>
            <w:pPr>
              <w:rPr>
                <w:shd w:val="clear"/>
              </w:rPr>
            </w:pPr>
          </w:p>
          <w:p>
            <w:pPr>
              <w:pStyle w:val="PO26"/>
              <w:numPr>
                <w:numId w:val="28"/>
                <w:ilvl w:val="0"/>
              </w:numPr>
              <w:jc w:val="both"/>
              <w:spacing w:lineRule="auto" w:line="335" w:after="0"/>
              <w:rPr>
                <w:b w:val="1"/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color w:val="000000"/>
                <w:shd w:val="clear"/>
                <w:rFonts w:cs="굴림" w:asciiTheme="majorHAnsi" w:eastAsiaTheme="majorHAnsi" w:hAnsiTheme="majorHAnsi" w:hint="eastAsia"/>
              </w:rPr>
              <w:t>경기도</w:t>
            </w:r>
          </w:p>
          <w:p>
            <w:pPr>
              <w:pStyle w:val="PO26"/>
              <w:numPr>
                <w:numId w:val="26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경기도 공장 데이터의 경우 총 70301개의 데이터가 존재하였다. 총 398개의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구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동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면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읍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으로 분류하였다.</w:t>
            </w:r>
          </w:p>
          <w:p>
            <w:pPr>
              <w:pStyle w:val="PO26"/>
              <w:jc w:val="both"/>
              <w:spacing w:lineRule="auto" w:line="335" w:after="0"/>
              <w:ind w:left="80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4516755"/>
                  <wp:effectExtent l="0" t="0" r="2540" b="0"/>
                  <wp:docPr id="5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:/Users/vivid/AppData/Roaming/PolarisOffice/ETemp/9552_11243624/image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451739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26"/>
              <w:ind w:left="800" w:firstLine="0"/>
              <w:rPr>
                <w:shd w:val="clear"/>
              </w:rPr>
            </w:pPr>
            <w:r>
              <w:rPr>
                <w:sz w:val="20"/>
              </w:rPr>
              <w:drawing>
                <wp:inline distT="0" distB="0" distL="0" distR="0">
                  <wp:extent cx="5731510" cy="2218690"/>
                  <wp:effectExtent l="0" t="0" r="2540" b="0"/>
                  <wp:docPr id="5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C:/Users/vivid/AppData/Roaming/PolarisOffice/ETemp/9552_11243624/image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21932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대표업종 코드 29294, 26299, 28123, 32029, 25924 주형</w:t>
            </w:r>
            <w:r>
              <w:rPr>
                <w:shd w:val="clear"/>
              </w:rPr>
              <w:t xml:space="preserve"> 및 금형 제조업</w:t>
            </w:r>
            <w:r>
              <w:rPr>
                <w:shd w:val="clear"/>
                <w:rFonts w:hint="eastAsia"/>
              </w:rPr>
              <w:t xml:space="preserve">, 그</w:t>
            </w:r>
            <w:r>
              <w:rPr>
                <w:shd w:val="clear"/>
              </w:rPr>
              <w:t xml:space="preserve"> 외 기타 전자 </w:t>
            </w:r>
            <w:r>
              <w:rPr>
                <w:shd w:val="clear"/>
              </w:rPr>
              <w:t xml:space="preserve">부품 제조업</w:t>
            </w:r>
            <w:r>
              <w:rPr>
                <w:shd w:val="clear"/>
                <w:rFonts w:hint="eastAsia"/>
              </w:rPr>
              <w:t xml:space="preserve">, 배전반</w:t>
            </w:r>
            <w:r>
              <w:rPr>
                <w:shd w:val="clear"/>
              </w:rPr>
              <w:t xml:space="preserve"> 및 전기 자동제어반 제조업</w:t>
            </w:r>
            <w:r>
              <w:rPr>
                <w:shd w:val="clear"/>
                <w:rFonts w:hint="eastAsia"/>
              </w:rPr>
              <w:t xml:space="preserve">, 기타</w:t>
            </w:r>
            <w:r>
              <w:rPr>
                <w:shd w:val="clear"/>
              </w:rPr>
              <w:t xml:space="preserve"> 목재 가구 제조업</w:t>
            </w:r>
            <w:r>
              <w:rPr>
                <w:shd w:val="clear"/>
                <w:rFonts w:hint="eastAsia"/>
              </w:rPr>
              <w:t xml:space="preserve">, 절삭</w:t>
            </w:r>
            <w:r>
              <w:rPr>
                <w:shd w:val="clear"/>
              </w:rPr>
              <w:t xml:space="preserve"> 가공 및 </w:t>
            </w:r>
            <w:r>
              <w:rPr>
                <w:shd w:val="clear"/>
              </w:rPr>
              <w:t xml:space="preserve">유사 처리업</w:t>
            </w:r>
            <w:r>
              <w:rPr>
                <w:shd w:val="clear"/>
                <w:rFonts w:hint="eastAsia"/>
              </w:rPr>
              <w:t xml:space="preserve"> 순서로 업종들이 차지하는 것을 볼 수 있다. </w:t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예측 정확도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800" w:type="dxa"/>
              <w:tblLook w:val="0004A0" w:firstRow="1" w:lastRow="0" w:firstColumn="1" w:lastColumn="0" w:noHBand="0" w:noVBand="1"/>
              <w:tblLayout w:type="auto"/>
            </w:tblPr>
            <w:tblGrid>
              <w:gridCol w:w="4548"/>
              <w:gridCol w:w="4570"/>
            </w:tblGrid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Model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Test Accuracy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경기도 구/동/면/읍 예측 기본 모델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0.3614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0.3625 ± 0.0029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10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0.3650 ± 0.0041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15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0.3654 ± 0.0049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K-fold 20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0.3667 ± 0.0046</w:t>
                  </w:r>
                </w:p>
              </w:tc>
            </w:tr>
          </w:tbl>
          <w:p>
            <w:pPr>
              <w:ind w:left="440" w:firstLine="0" w:leftChars="200"/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경기도 지역 398개의 구/동/면/읍 예측 모델의 정확도는 대략 36%로 볼 수 있다.</w:t>
            </w:r>
          </w:p>
          <w:p>
            <w:pPr>
              <w:rPr>
                <w:shd w:val="clear"/>
              </w:rPr>
            </w:pPr>
          </w:p>
          <w:p>
            <w:pPr>
              <w:pStyle w:val="PO26"/>
              <w:numPr>
                <w:numId w:val="28"/>
                <w:ilvl w:val="0"/>
              </w:numPr>
              <w:jc w:val="both"/>
              <w:spacing w:lineRule="auto" w:line="335" w:after="0"/>
              <w:rPr>
                <w:b w:val="1"/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color w:val="000000"/>
                <w:shd w:val="clear"/>
                <w:rFonts w:cs="굴림" w:asciiTheme="majorHAnsi" w:eastAsiaTheme="majorHAnsi" w:hAnsiTheme="majorHAnsi" w:hint="eastAsia"/>
              </w:rPr>
              <w:t>경상남도</w:t>
            </w:r>
          </w:p>
          <w:p>
            <w:pPr>
              <w:pStyle w:val="PO26"/>
              <w:numPr>
                <w:numId w:val="26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경상남도 공장 데이터의 경우 총 19719개의 데이터가 존재하였다. 총 241개의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구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동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면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읍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으로 분류하였다.</w:t>
            </w:r>
          </w:p>
          <w:p>
            <w:pPr>
              <w:pStyle w:val="PO26"/>
              <w:jc w:val="both"/>
              <w:spacing w:lineRule="auto" w:line="335" w:after="0"/>
              <w:ind w:left="80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3402330"/>
                  <wp:effectExtent l="0" t="0" r="2540" b="7620"/>
                  <wp:docPr id="6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C:/Users/vivid/AppData/Roaming/PolarisOffice/ETemp/9552_11243624/image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40296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대표업종 코드 25924, 30399, 31114, 29294, 25113 절삭</w:t>
            </w:r>
            <w:r>
              <w:rPr>
                <w:shd w:val="clear"/>
              </w:rPr>
              <w:t xml:space="preserve"> 가공 및 유사 처리업</w:t>
            </w:r>
            <w:r>
              <w:rPr>
                <w:shd w:val="clear"/>
                <w:rFonts w:hint="eastAsia"/>
              </w:rPr>
              <w:t xml:space="preserve">, 그</w:t>
            </w:r>
            <w:r>
              <w:rPr>
                <w:shd w:val="clear"/>
              </w:rPr>
              <w:t xml:space="preserve"> 외 자동</w:t>
            </w:r>
            <w:r>
              <w:rPr>
                <w:shd w:val="clear"/>
              </w:rPr>
              <w:t xml:space="preserve">차용 신품 부품 제조업</w:t>
            </w:r>
            <w:r>
              <w:rPr>
                <w:shd w:val="clear"/>
                <w:rFonts w:hint="eastAsia"/>
              </w:rPr>
              <w:t xml:space="preserve">, 선박</w:t>
            </w:r>
            <w:r>
              <w:rPr>
                <w:shd w:val="clear"/>
              </w:rPr>
              <w:t xml:space="preserve"> 구성 부분품 제조업</w:t>
            </w:r>
            <w:r>
              <w:rPr>
                <w:shd w:val="clear"/>
                <w:rFonts w:hint="eastAsia"/>
              </w:rPr>
              <w:t xml:space="preserve">, 주형</w:t>
            </w:r>
            <w:r>
              <w:rPr>
                <w:shd w:val="clear"/>
              </w:rPr>
              <w:t xml:space="preserve"> 및 금형 제조업</w:t>
            </w:r>
            <w:r>
              <w:rPr>
                <w:shd w:val="clear"/>
                <w:rFonts w:hint="eastAsia"/>
              </w:rPr>
              <w:t xml:space="preserve">, 육상</w:t>
            </w:r>
            <w:r>
              <w:rPr>
                <w:shd w:val="clear"/>
              </w:rPr>
              <w:t xml:space="preserve"> 금속 골조 </w:t>
            </w:r>
            <w:r>
              <w:rPr>
                <w:shd w:val="clear"/>
              </w:rPr>
              <w:t xml:space="preserve">구조재 제조업</w:t>
            </w:r>
            <w:r>
              <w:rPr>
                <w:shd w:val="clear"/>
                <w:rFonts w:hint="eastAsia"/>
              </w:rPr>
              <w:t xml:space="preserve"> 순서로 업종들이 차지하는 것을 볼 수 있다. </w:t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예측 정확도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800" w:type="dxa"/>
              <w:tblLook w:val="0004A0" w:firstRow="1" w:lastRow="0" w:firstColumn="1" w:lastColumn="0" w:noHBand="0" w:noVBand="1"/>
              <w:tblLayout w:type="auto"/>
            </w:tblPr>
            <w:tblGrid>
              <w:gridCol w:w="4548"/>
              <w:gridCol w:w="4570"/>
            </w:tblGrid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Model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Test Accuracy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경상남도 구/동/면/읍 예측 기본 모델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0.3409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0.3480 ± 0.0036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K-fold 10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0.3534 ± 0.0079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15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0.3532 ± 0.0120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20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0.3529 ± 0.0132</w:t>
                  </w:r>
                </w:p>
              </w:tc>
            </w:tr>
          </w:tbl>
          <w:p>
            <w:pPr>
              <w:jc w:val="left"/>
              <w:spacing w:lineRule="auto" w:line="240" w:before="0" w:after="0"/>
              <w:ind w:left="800" w:right="0" w:firstLine="0"/>
              <w:rPr>
                <w:shd w:val="clear"/>
              </w:rPr>
            </w:pPr>
          </w:p>
          <w:p>
            <w:pPr>
              <w:ind w:left="440" w:firstLine="0" w:leftChars="200"/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경상남도 지역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241</w:t>
            </w:r>
            <w:r>
              <w:rPr>
                <w:shd w:val="clear"/>
                <w:rFonts w:hint="eastAsia"/>
              </w:rPr>
              <w:t xml:space="preserve">개의 구/동/면/읍 예측 모델의 정확도는 대략 35%로 볼 수 있다.</w:t>
            </w:r>
          </w:p>
          <w:p>
            <w:pPr>
              <w:rPr>
                <w:shd w:val="clear"/>
              </w:rPr>
            </w:pPr>
          </w:p>
          <w:p>
            <w:pPr>
              <w:pStyle w:val="PO26"/>
              <w:numPr>
                <w:numId w:val="28"/>
                <w:ilvl w:val="0"/>
              </w:numPr>
              <w:jc w:val="both"/>
              <w:spacing w:lineRule="auto" w:line="335" w:after="0"/>
              <w:rPr>
                <w:b w:val="1"/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color w:val="000000"/>
                <w:shd w:val="clear"/>
                <w:rFonts w:cs="굴림" w:asciiTheme="majorHAnsi" w:eastAsiaTheme="majorHAnsi" w:hAnsiTheme="majorHAnsi" w:hint="eastAsia"/>
              </w:rPr>
              <w:t>경상북도</w:t>
            </w:r>
          </w:p>
          <w:p>
            <w:pPr>
              <w:pStyle w:val="PO26"/>
              <w:numPr>
                <w:numId w:val="26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경상북도 공장 데이터의 경우 총 15427개의 데이터가 존재하였다. 총 252개의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구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동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면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읍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으로 분류하였다.</w:t>
            </w:r>
          </w:p>
          <w:p>
            <w:pPr>
              <w:pStyle w:val="PO26"/>
              <w:jc w:val="both"/>
              <w:spacing w:lineRule="auto" w:line="335" w:after="0"/>
              <w:ind w:left="80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4041140"/>
                  <wp:effectExtent l="0" t="0" r="2540" b="0"/>
                  <wp:docPr id="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C:/Users/vivid/AppData/Roaming/PolarisOffice/ETemp/9552_11243624/image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404177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대표업종 코드 30399, 25113, 13104, 25924, 29294 그</w:t>
            </w:r>
            <w:r>
              <w:rPr>
                <w:shd w:val="clear"/>
              </w:rPr>
              <w:t xml:space="preserve"> 외 자동차용 신품 부품 제조업</w:t>
            </w:r>
            <w:r>
              <w:rPr>
                <w:shd w:val="clear"/>
                <w:rFonts w:hint="eastAsia"/>
              </w:rPr>
              <w:t xml:space="preserve">, 육</w:t>
            </w:r>
            <w:r>
              <w:rPr>
                <w:shd w:val="clear"/>
                <w:rFonts w:hint="eastAsia"/>
              </w:rPr>
              <w:t>상</w:t>
            </w:r>
            <w:r>
              <w:rPr>
                <w:shd w:val="clear"/>
              </w:rPr>
              <w:t xml:space="preserve"> 금속 골조 구조재 제조업</w:t>
            </w:r>
            <w:r>
              <w:rPr>
                <w:shd w:val="clear"/>
                <w:rFonts w:hint="eastAsia"/>
              </w:rPr>
              <w:t xml:space="preserve">, 연사</w:t>
            </w:r>
            <w:r>
              <w:rPr>
                <w:shd w:val="clear"/>
              </w:rPr>
              <w:t xml:space="preserve"> 및 가공사 제조업</w:t>
            </w:r>
            <w:r>
              <w:rPr>
                <w:shd w:val="clear"/>
                <w:rFonts w:hint="eastAsia"/>
              </w:rPr>
              <w:t xml:space="preserve">, 절삭</w:t>
            </w:r>
            <w:r>
              <w:rPr>
                <w:shd w:val="clear"/>
              </w:rPr>
              <w:t xml:space="preserve"> 가공 및 유사 처리업</w:t>
            </w:r>
            <w:r>
              <w:rPr>
                <w:shd w:val="clear"/>
                <w:rFonts w:hint="eastAsia"/>
              </w:rPr>
              <w:t xml:space="preserve">, 주형</w:t>
            </w:r>
            <w:r>
              <w:rPr>
                <w:shd w:val="clear"/>
              </w:rPr>
              <w:t xml:space="preserve"> 및 </w:t>
            </w:r>
            <w:r>
              <w:rPr>
                <w:shd w:val="clear"/>
              </w:rPr>
              <w:t xml:space="preserve">금형 제조업</w:t>
            </w:r>
            <w:r>
              <w:rPr>
                <w:shd w:val="clear"/>
                <w:rFonts w:hint="eastAsia"/>
              </w:rPr>
              <w:t xml:space="preserve"> 순서로 업종들이 차지하는 것을 볼 수 있다. </w:t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예측 정확도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800" w:type="dxa"/>
              <w:tblLook w:val="0004A0" w:firstRow="1" w:lastRow="0" w:firstColumn="1" w:lastColumn="0" w:noHBand="0" w:noVBand="1"/>
              <w:tblLayout w:type="auto"/>
            </w:tblPr>
            <w:tblGrid>
              <w:gridCol w:w="4548"/>
              <w:gridCol w:w="4570"/>
            </w:tblGrid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Model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Test Accuracy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경상북도 구/동/면/읍 예측 기본 모델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>0.3184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0.3074 ± 0.0041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10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0.3135 ± 0.0096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15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0.3169 ± 0.0085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20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0.3156 ± 0.0110</w:t>
                  </w:r>
                </w:p>
              </w:tc>
            </w:tr>
          </w:tbl>
          <w:p>
            <w:pPr>
              <w:jc w:val="left"/>
              <w:spacing w:lineRule="auto" w:line="240" w:before="0" w:after="0"/>
              <w:ind w:left="800" w:right="0" w:firstLine="0"/>
              <w:rPr>
                <w:shd w:val="clear"/>
              </w:rPr>
            </w:pPr>
          </w:p>
          <w:p>
            <w:pPr>
              <w:ind w:left="440" w:firstLine="0" w:leftChars="200"/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경상북도 지역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252</w:t>
            </w:r>
            <w:r>
              <w:rPr>
                <w:shd w:val="clear"/>
                <w:rFonts w:hint="eastAsia"/>
              </w:rPr>
              <w:t xml:space="preserve">개의 구/동/면/읍 예측 모델의 정확도는 대략 31%로 볼 수 있다.</w:t>
            </w:r>
          </w:p>
          <w:p>
            <w:pPr>
              <w:rPr>
                <w:shd w:val="clear"/>
              </w:rPr>
            </w:pPr>
          </w:p>
          <w:p>
            <w:pPr>
              <w:pStyle w:val="PO26"/>
              <w:numPr>
                <w:numId w:val="28"/>
                <w:ilvl w:val="0"/>
              </w:numPr>
              <w:jc w:val="both"/>
              <w:spacing w:lineRule="auto" w:line="335" w:after="0"/>
              <w:rPr>
                <w:b w:val="1"/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color w:val="000000"/>
                <w:shd w:val="clear"/>
                <w:rFonts w:cs="굴림" w:asciiTheme="majorHAnsi" w:eastAsiaTheme="majorHAnsi" w:hAnsiTheme="majorHAnsi" w:hint="eastAsia"/>
              </w:rPr>
              <w:t>광주광역시</w:t>
            </w:r>
          </w:p>
          <w:p>
            <w:pPr>
              <w:pStyle w:val="PO26"/>
              <w:numPr>
                <w:numId w:val="26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광주광역시 공장 데이터의 경우 총 4649개의 데이터가 존재하였다. 총 111개의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구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동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면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/읍으로 분류하였다.</w:t>
            </w:r>
          </w:p>
          <w:p>
            <w:pPr>
              <w:pStyle w:val="PO26"/>
              <w:jc w:val="both"/>
              <w:spacing w:lineRule="auto" w:line="335" w:after="0"/>
              <w:ind w:left="80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1843405"/>
                  <wp:effectExtent l="0" t="0" r="2540" b="4445"/>
                  <wp:docPr id="6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C:/Users/vivid/AppData/Roaming/PolarisOffice/ETemp/9552_11243624/image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84404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대표업종 코드 29294, 28123, 25113, 30399, 25111 주형</w:t>
            </w:r>
            <w:r>
              <w:rPr>
                <w:shd w:val="clear"/>
              </w:rPr>
              <w:t xml:space="preserve"> 및 금형 제조업</w:t>
            </w:r>
            <w:r>
              <w:rPr>
                <w:shd w:val="clear"/>
                <w:rFonts w:hint="eastAsia"/>
              </w:rPr>
              <w:t xml:space="preserve">, 배전반</w:t>
            </w:r>
            <w:r>
              <w:rPr>
                <w:shd w:val="clear"/>
              </w:rPr>
              <w:t xml:space="preserve"> 및 전기 </w:t>
            </w:r>
            <w:r>
              <w:rPr>
                <w:shd w:val="clear"/>
              </w:rPr>
              <w:t xml:space="preserve">자동제어반 제조업</w:t>
            </w:r>
            <w:r>
              <w:rPr>
                <w:shd w:val="clear"/>
                <w:rFonts w:hint="eastAsia"/>
              </w:rPr>
              <w:t xml:space="preserve">, 육상</w:t>
            </w:r>
            <w:r>
              <w:rPr>
                <w:shd w:val="clear"/>
              </w:rPr>
              <w:t xml:space="preserve"> 금속 골조 구조재 제조업</w:t>
            </w:r>
            <w:r>
              <w:rPr>
                <w:shd w:val="clear"/>
                <w:rFonts w:hint="eastAsia"/>
              </w:rPr>
              <w:t xml:space="preserve">, 그</w:t>
            </w:r>
            <w:r>
              <w:rPr>
                <w:shd w:val="clear"/>
              </w:rPr>
              <w:t xml:space="preserve"> 외 자동차용 신품 부품 제조업</w:t>
            </w:r>
            <w:r>
              <w:rPr>
                <w:shd w:val="clear"/>
                <w:rFonts w:hint="eastAsia"/>
              </w:rPr>
              <w:t xml:space="preserve">, 금</w:t>
            </w:r>
            <w:r>
              <w:rPr>
                <w:shd w:val="clear"/>
                <w:rFonts w:hint="eastAsia"/>
              </w:rPr>
              <w:t>속</w:t>
            </w:r>
            <w:r>
              <w:rPr>
                <w:shd w:val="clear"/>
              </w:rPr>
              <w:t xml:space="preserve"> 문, 창, 셔터 및 관련제품 제조업</w:t>
            </w:r>
            <w:r>
              <w:rPr>
                <w:shd w:val="clear"/>
                <w:rFonts w:hint="eastAsia"/>
              </w:rPr>
              <w:t xml:space="preserve"> 순서로 업종들이 차지하는 것을 볼 수 있다. </w:t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예측 정확도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800" w:type="dxa"/>
              <w:tblLook w:val="0004A0" w:firstRow="1" w:lastRow="0" w:firstColumn="1" w:lastColumn="0" w:noHBand="0" w:noVBand="1"/>
              <w:tblLayout w:type="auto"/>
            </w:tblPr>
            <w:tblGrid>
              <w:gridCol w:w="4548"/>
              <w:gridCol w:w="4570"/>
            </w:tblGrid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Model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Test Accuracy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광주광역시 구/동/면/읍 예측 기본 모델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0.3902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0.3902 ± 0.0040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K-fold 10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0.3987 ± 0.0080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15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0.3922 ± 0.0251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20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0.3930 ± 0.0249</w:t>
                  </w:r>
                </w:p>
              </w:tc>
            </w:tr>
          </w:tbl>
          <w:p>
            <w:pPr>
              <w:ind w:left="440" w:firstLine="0" w:leftChars="200"/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광주광역시 지역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111</w:t>
            </w:r>
            <w:r>
              <w:rPr>
                <w:shd w:val="clear"/>
                <w:rFonts w:hint="eastAsia"/>
              </w:rPr>
              <w:t xml:space="preserve">개의 구/동/면/읍 예측 모델의 정확도는 대략 40%로 볼 수 있다.</w:t>
            </w:r>
          </w:p>
          <w:p>
            <w:pPr>
              <w:rPr>
                <w:shd w:val="clear"/>
              </w:rPr>
            </w:pPr>
          </w:p>
          <w:p>
            <w:pPr>
              <w:pStyle w:val="PO26"/>
              <w:numPr>
                <w:numId w:val="28"/>
                <w:ilvl w:val="0"/>
              </w:numPr>
              <w:jc w:val="both"/>
              <w:spacing w:lineRule="auto" w:line="335" w:after="0"/>
              <w:rPr>
                <w:b w:val="1"/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color w:val="000000"/>
                <w:shd w:val="clear"/>
                <w:rFonts w:cs="굴림" w:asciiTheme="majorHAnsi" w:eastAsiaTheme="majorHAnsi" w:hAnsiTheme="majorHAnsi" w:hint="eastAsia"/>
              </w:rPr>
              <w:t>대구광역시</w:t>
            </w:r>
          </w:p>
          <w:p>
            <w:pPr>
              <w:pStyle w:val="PO26"/>
              <w:numPr>
                <w:numId w:val="26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대구광역시 공장 데이터의 경우 총 8208개의 데이터가 존재하였다. 총 95개의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구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동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면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읍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으로 분류하였다.</w:t>
            </w:r>
          </w:p>
          <w:p>
            <w:pPr>
              <w:pStyle w:val="PO26"/>
              <w:jc w:val="both"/>
              <w:spacing w:lineRule="auto" w:line="335" w:after="0"/>
              <w:ind w:left="80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1586865"/>
                  <wp:effectExtent l="0" t="0" r="2540" b="0"/>
                  <wp:docPr id="6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C:/Users/vivid/AppData/Roaming/PolarisOffice/ETemp/9552_11243624/image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750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대표업종 코드 30399, 29294, 25924, 13213, 28123 그</w:t>
            </w:r>
            <w:r>
              <w:rPr>
                <w:shd w:val="clear"/>
              </w:rPr>
              <w:t xml:space="preserve"> 외 자동차용 신품 부품 제조업</w:t>
            </w:r>
            <w:r>
              <w:rPr>
                <w:shd w:val="clear"/>
                <w:rFonts w:hint="eastAsia"/>
              </w:rPr>
              <w:t xml:space="preserve">, 주</w:t>
            </w:r>
            <w:r>
              <w:rPr>
                <w:shd w:val="clear"/>
                <w:rFonts w:hint="eastAsia"/>
              </w:rPr>
              <w:t>형</w:t>
            </w:r>
            <w:r>
              <w:rPr>
                <w:shd w:val="clear"/>
              </w:rPr>
              <w:t xml:space="preserve"> 및 금형 제조업</w:t>
            </w:r>
            <w:r>
              <w:rPr>
                <w:shd w:val="clear"/>
                <w:rFonts w:hint="eastAsia"/>
              </w:rPr>
              <w:t xml:space="preserve">, 절삭</w:t>
            </w:r>
            <w:r>
              <w:rPr>
                <w:shd w:val="clear"/>
              </w:rPr>
              <w:t xml:space="preserve"> 가공 및 유사 처리업</w:t>
            </w:r>
            <w:r>
              <w:rPr>
                <w:shd w:val="clear"/>
                <w:rFonts w:hint="eastAsia"/>
              </w:rPr>
              <w:t xml:space="preserve">, 화학섬유직물</w:t>
            </w:r>
            <w:r>
              <w:rPr>
                <w:shd w:val="clear"/>
              </w:rPr>
              <w:t xml:space="preserve"> 직조업</w:t>
            </w:r>
            <w:r>
              <w:rPr>
                <w:shd w:val="clear"/>
                <w:rFonts w:hint="eastAsia"/>
              </w:rPr>
              <w:t xml:space="preserve">, 배전반</w:t>
            </w:r>
            <w:r>
              <w:rPr>
                <w:shd w:val="clear"/>
              </w:rPr>
              <w:t xml:space="preserve"> 및 전기 자</w:t>
            </w:r>
            <w:r>
              <w:rPr>
                <w:shd w:val="clear"/>
              </w:rPr>
              <w:t xml:space="preserve">동제어반 제조업</w:t>
            </w:r>
            <w:r>
              <w:rPr>
                <w:shd w:val="clear"/>
                <w:rFonts w:hint="eastAsia"/>
              </w:rPr>
              <w:t xml:space="preserve"> 순서로 업종들이 차지하는 것을 볼 수 있다. </w:t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예측 정확도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800" w:type="dxa"/>
              <w:tblLook w:val="0004A0" w:firstRow="1" w:lastRow="0" w:firstColumn="1" w:lastColumn="0" w:noHBand="0" w:noVBand="1"/>
              <w:tblLayout w:type="auto"/>
            </w:tblPr>
            <w:tblGrid>
              <w:gridCol w:w="4548"/>
              <w:gridCol w:w="4570"/>
            </w:tblGrid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Model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Test Accuracy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대구광역시 구/동/면/읍 예측 기본 모델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0.4588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0.4522 ± 0.0078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K-fold 10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0.4611 ± 0.0120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15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0.4602 ± 0.174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20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0.4585 ± 0.0202</w:t>
                  </w:r>
                </w:p>
              </w:tc>
            </w:tr>
          </w:tbl>
          <w:p>
            <w:pPr>
              <w:ind w:left="440" w:firstLine="0" w:leftChars="200"/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대구광역시 지역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95</w:t>
            </w:r>
            <w:r>
              <w:rPr>
                <w:shd w:val="clear"/>
                <w:rFonts w:hint="eastAsia"/>
              </w:rPr>
              <w:t xml:space="preserve">개의 구/동/면/읍 예측 모델의 정확도는 대략 46%로 볼 수 있다.</w:t>
            </w:r>
          </w:p>
          <w:p>
            <w:pPr>
              <w:rPr>
                <w:shd w:val="clear"/>
              </w:rPr>
            </w:pPr>
          </w:p>
          <w:p>
            <w:pPr>
              <w:pStyle w:val="PO26"/>
              <w:numPr>
                <w:numId w:val="28"/>
                <w:ilvl w:val="0"/>
              </w:numPr>
              <w:jc w:val="both"/>
              <w:spacing w:lineRule="auto" w:line="335" w:after="0"/>
              <w:rPr>
                <w:b w:val="1"/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color w:val="000000"/>
                <w:shd w:val="clear"/>
                <w:rFonts w:cs="굴림" w:asciiTheme="majorHAnsi" w:eastAsiaTheme="majorHAnsi" w:hAnsiTheme="majorHAnsi" w:hint="eastAsia"/>
              </w:rPr>
              <w:t>대전광역시</w:t>
            </w:r>
          </w:p>
          <w:p>
            <w:pPr>
              <w:pStyle w:val="PO26"/>
              <w:numPr>
                <w:numId w:val="26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대전광역시 공장 데이터의 경우 총 3225개의 데이터가 존재하였다. 총 107개의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구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동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면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읍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으로 분류하였다.</w:t>
            </w:r>
          </w:p>
          <w:p>
            <w:pPr>
              <w:pStyle w:val="PO26"/>
              <w:jc w:val="both"/>
              <w:spacing w:lineRule="auto" w:line="335" w:after="0"/>
              <w:ind w:left="80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1648460"/>
                  <wp:effectExtent l="0" t="0" r="2540" b="8890"/>
                  <wp:docPr id="6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C:/Users/vivid/AppData/Roaming/PolarisOffice/ETemp/9552_11243624/image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64909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대표업종 코드 28123, 29299, 29199, 26299, 27213 배전반</w:t>
            </w:r>
            <w:r>
              <w:rPr>
                <w:shd w:val="clear"/>
              </w:rPr>
              <w:t xml:space="preserve"> 및 전기 자동제어반 제조업</w:t>
            </w:r>
            <w:r>
              <w:rPr>
                <w:shd w:val="clear"/>
                <w:rFonts w:hint="eastAsia"/>
              </w:rPr>
              <w:t xml:space="preserve">, 그</w:t>
            </w:r>
            <w:r>
              <w:rPr>
                <w:shd w:val="clear"/>
              </w:rPr>
              <w:t xml:space="preserve"> </w:t>
            </w:r>
            <w:r>
              <w:rPr>
                <w:shd w:val="clear"/>
              </w:rPr>
              <w:t xml:space="preserve">외 기타 특수 목적용 기계 제조업</w:t>
            </w:r>
            <w:r>
              <w:rPr>
                <w:shd w:val="clear"/>
                <w:rFonts w:hint="eastAsia"/>
              </w:rPr>
              <w:t xml:space="preserve">, 그</w:t>
            </w:r>
            <w:r>
              <w:rPr>
                <w:shd w:val="clear"/>
              </w:rPr>
              <w:t xml:space="preserve"> 외 기타 일반 목적용 기계 제조업</w:t>
            </w:r>
            <w:r>
              <w:rPr>
                <w:shd w:val="clear"/>
                <w:rFonts w:hint="eastAsia"/>
              </w:rPr>
              <w:t xml:space="preserve">, 그</w:t>
            </w:r>
            <w:r>
              <w:rPr>
                <w:shd w:val="clear"/>
              </w:rPr>
              <w:t xml:space="preserve"> 외 기타 전자 </w:t>
            </w:r>
            <w:r>
              <w:rPr>
                <w:shd w:val="clear"/>
              </w:rPr>
              <w:t xml:space="preserve">부품 제조업</w:t>
            </w:r>
            <w:r>
              <w:rPr>
                <w:shd w:val="clear"/>
                <w:rFonts w:hint="eastAsia"/>
              </w:rPr>
              <w:t xml:space="preserve">, 물질</w:t>
            </w:r>
            <w:r>
              <w:rPr>
                <w:shd w:val="clear"/>
              </w:rPr>
              <w:t xml:space="preserve"> 검사, 측정 및 분석 기구 제조업</w:t>
            </w:r>
            <w:r>
              <w:rPr>
                <w:shd w:val="clear"/>
                <w:rFonts w:hint="eastAsia"/>
              </w:rPr>
              <w:t xml:space="preserve"> 순서로 업종들이 차지하는 것을 볼 수 </w:t>
            </w:r>
            <w:r>
              <w:rPr>
                <w:shd w:val="clear"/>
                <w:rFonts w:hint="eastAsia"/>
              </w:rPr>
              <w:t xml:space="preserve">있다. </w:t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예측 정확도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800" w:type="dxa"/>
              <w:tblLook w:val="0004A0" w:firstRow="1" w:lastRow="0" w:firstColumn="1" w:lastColumn="0" w:noHBand="0" w:noVBand="1"/>
              <w:tblLayout w:type="auto"/>
            </w:tblPr>
            <w:tblGrid>
              <w:gridCol w:w="4548"/>
              <w:gridCol w:w="4570"/>
            </w:tblGrid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Model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Test Accuracy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대전광역시 구/동/면/읍 예측 기본 모델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0.5074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0.5049 ± 0.0154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10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0.5087 ± 0.0286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K-fold 15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0.5096 ± 0.0297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20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0.5080 ± 0.0321</w:t>
                  </w:r>
                </w:p>
              </w:tc>
            </w:tr>
          </w:tbl>
          <w:p>
            <w:pPr>
              <w:ind w:left="440" w:firstLine="0" w:leftChars="200"/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대전광역시 지역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107</w:t>
            </w:r>
            <w:r>
              <w:rPr>
                <w:shd w:val="clear"/>
                <w:rFonts w:hint="eastAsia"/>
              </w:rPr>
              <w:t xml:space="preserve">개의 구/동/면/읍 예측 모델의 정확도는 대략 50%로 볼 수 있다.</w:t>
            </w:r>
          </w:p>
          <w:p>
            <w:pPr>
              <w:rPr>
                <w:shd w:val="clear"/>
              </w:rPr>
            </w:pPr>
          </w:p>
          <w:p>
            <w:pPr>
              <w:pStyle w:val="PO26"/>
              <w:numPr>
                <w:numId w:val="28"/>
                <w:ilvl w:val="0"/>
              </w:numPr>
              <w:jc w:val="both"/>
              <w:spacing w:lineRule="auto" w:line="335" w:after="0"/>
              <w:rPr>
                <w:b w:val="1"/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color w:val="000000"/>
                <w:shd w:val="clear"/>
                <w:rFonts w:cs="굴림" w:asciiTheme="majorHAnsi" w:eastAsiaTheme="majorHAnsi" w:hAnsiTheme="majorHAnsi" w:hint="eastAsia"/>
              </w:rPr>
              <w:t>부산광역시</w:t>
            </w:r>
          </w:p>
          <w:p>
            <w:pPr>
              <w:pStyle w:val="PO26"/>
              <w:numPr>
                <w:numId w:val="26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부산광역시 공장 데이터의 경우 총 10443개의 데이터가 존재하였다. 총 113개의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구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동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면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읍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으로 분류하였다.</w:t>
            </w:r>
          </w:p>
          <w:p>
            <w:pPr>
              <w:pStyle w:val="PO26"/>
              <w:jc w:val="both"/>
              <w:spacing w:lineRule="auto" w:line="335" w:after="0"/>
              <w:ind w:left="80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2061210"/>
                  <wp:effectExtent l="0" t="0" r="2540" b="0"/>
                  <wp:docPr id="7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C:/Users/vivid/AppData/Roaming/PolarisOffice/ETemp/9552_11243624/image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06184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대표업종 코드 31114, 25924, 28123, 29294, 30399 선박</w:t>
            </w:r>
            <w:r>
              <w:rPr>
                <w:shd w:val="clear"/>
              </w:rPr>
              <w:t xml:space="preserve"> 구성 부분품 제조업</w:t>
            </w:r>
            <w:r>
              <w:rPr>
                <w:shd w:val="clear"/>
                <w:rFonts w:hint="eastAsia"/>
              </w:rPr>
              <w:t xml:space="preserve">, 절삭</w:t>
            </w:r>
            <w:r>
              <w:rPr>
                <w:shd w:val="clear"/>
              </w:rPr>
              <w:t xml:space="preserve"> 가공 </w:t>
            </w:r>
            <w:r>
              <w:rPr>
                <w:shd w:val="clear"/>
              </w:rPr>
              <w:t xml:space="preserve">및 유사 처리업</w:t>
            </w:r>
            <w:r>
              <w:rPr>
                <w:shd w:val="clear"/>
                <w:rFonts w:hint="eastAsia"/>
              </w:rPr>
              <w:t xml:space="preserve">, 배전반</w:t>
            </w:r>
            <w:r>
              <w:rPr>
                <w:shd w:val="clear"/>
              </w:rPr>
              <w:t xml:space="preserve"> 및 전기 자동제어반 제조업</w:t>
            </w:r>
            <w:r>
              <w:rPr>
                <w:shd w:val="clear"/>
                <w:rFonts w:hint="eastAsia"/>
              </w:rPr>
              <w:t xml:space="preserve">, 주형</w:t>
            </w:r>
            <w:r>
              <w:rPr>
                <w:shd w:val="clear"/>
              </w:rPr>
              <w:t xml:space="preserve"> 및 금형 제조업</w:t>
            </w:r>
            <w:r>
              <w:rPr>
                <w:shd w:val="clear"/>
                <w:rFonts w:hint="eastAsia"/>
              </w:rPr>
              <w:t xml:space="preserve">, 물질</w:t>
            </w:r>
            <w:r>
              <w:rPr>
                <w:shd w:val="clear"/>
              </w:rPr>
              <w:t xml:space="preserve"> 검사, </w:t>
            </w:r>
            <w:r>
              <w:rPr>
                <w:shd w:val="clear"/>
                <w:rFonts w:hint="eastAsia"/>
              </w:rPr>
              <w:t>그</w:t>
            </w:r>
            <w:r>
              <w:rPr>
                <w:shd w:val="clear"/>
              </w:rPr>
              <w:t xml:space="preserve"> </w:t>
            </w:r>
            <w:r>
              <w:rPr>
                <w:shd w:val="clear"/>
              </w:rPr>
              <w:t xml:space="preserve">외 자동차용 신품 부품 제조업</w:t>
            </w:r>
            <w:r>
              <w:rPr>
                <w:shd w:val="clear"/>
                <w:rFonts w:hint="eastAsia"/>
              </w:rPr>
              <w:t xml:space="preserve"> 순서로 업종들이 차지하는 것을 볼 수 있다. </w:t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예측 정확도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800" w:type="dxa"/>
              <w:tblLook w:val="0004A0" w:firstRow="1" w:lastRow="0" w:firstColumn="1" w:lastColumn="0" w:noHBand="0" w:noVBand="1"/>
              <w:tblLayout w:type="auto"/>
            </w:tblPr>
            <w:tblGrid>
              <w:gridCol w:w="4548"/>
              <w:gridCol w:w="4570"/>
            </w:tblGrid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Model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Test Accuracy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부산광역시 구/동/면/읍 예측 기본 모델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>0.4756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0.4563 ± 0.0147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10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0.4602 ± 0.0146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15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0.4631 ± 0.0150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20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0.4648 ± 0.0193</w:t>
                  </w:r>
                </w:p>
              </w:tc>
            </w:tr>
          </w:tbl>
          <w:p>
            <w:pPr>
              <w:ind w:left="440" w:firstLine="0" w:leftChars="200"/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부산광역시 지역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113</w:t>
            </w:r>
            <w:r>
              <w:rPr>
                <w:shd w:val="clear"/>
                <w:rFonts w:hint="eastAsia"/>
              </w:rPr>
              <w:t xml:space="preserve">개의 구/동/면/읍 예측 모델의 정확도는 대략 46%로 볼 수 있다.</w:t>
            </w:r>
          </w:p>
          <w:p>
            <w:pPr>
              <w:rPr>
                <w:shd w:val="clear"/>
              </w:rPr>
            </w:pPr>
          </w:p>
          <w:p>
            <w:pPr>
              <w:pStyle w:val="PO26"/>
              <w:numPr>
                <w:numId w:val="28"/>
                <w:ilvl w:val="0"/>
              </w:numPr>
              <w:jc w:val="both"/>
              <w:spacing w:lineRule="auto" w:line="335" w:after="0"/>
              <w:rPr>
                <w:b w:val="1"/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color w:val="000000"/>
                <w:shd w:val="clear"/>
                <w:rFonts w:cs="굴림" w:asciiTheme="majorHAnsi" w:eastAsiaTheme="majorHAnsi" w:hAnsiTheme="majorHAnsi" w:hint="eastAsia"/>
              </w:rPr>
              <w:t>서울특별시</w:t>
            </w:r>
          </w:p>
          <w:p>
            <w:pPr>
              <w:pStyle w:val="PO26"/>
              <w:numPr>
                <w:numId w:val="26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서울특별시 공장 데이터의 경우 총 11633개의 데이터가 존재하였다. 총 25개의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구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로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분류하였다.</w:t>
            </w:r>
          </w:p>
          <w:p>
            <w:pPr>
              <w:pStyle w:val="PO26"/>
              <w:jc w:val="both"/>
              <w:spacing w:lineRule="auto" w:line="335" w:after="0"/>
              <w:ind w:left="80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483235"/>
                  <wp:effectExtent l="0" t="0" r="2540" b="0"/>
                  <wp:docPr id="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C:/Users/vivid/AppData/Roaming/PolarisOffice/ETemp/9552_11243624/image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48387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대표업종 코드 18119, 28123, 14192, 26421, 26410 기타</w:t>
            </w:r>
            <w:r>
              <w:rPr>
                <w:shd w:val="clear"/>
              </w:rPr>
              <w:t xml:space="preserve"> 인쇄업</w:t>
            </w:r>
            <w:r>
              <w:rPr>
                <w:shd w:val="clear"/>
                <w:rFonts w:hint="eastAsia"/>
              </w:rPr>
              <w:t xml:space="preserve">, 배전반</w:t>
            </w:r>
            <w:r>
              <w:rPr>
                <w:shd w:val="clear"/>
              </w:rPr>
              <w:t xml:space="preserve"> 및 전기 자동제어</w:t>
            </w:r>
            <w:r>
              <w:rPr>
                <w:shd w:val="clear"/>
              </w:rPr>
              <w:t xml:space="preserve">반 제조업</w:t>
            </w:r>
            <w:r>
              <w:rPr>
                <w:shd w:val="clear"/>
                <w:rFonts w:hint="eastAsia"/>
              </w:rPr>
              <w:t xml:space="preserve">, 근무복</w:t>
            </w:r>
            <w:r>
              <w:rPr>
                <w:shd w:val="clear"/>
              </w:rPr>
              <w:t xml:space="preserve">, 작업복 및 유사 의복 제조업</w:t>
            </w:r>
            <w:r>
              <w:rPr>
                <w:shd w:val="clear"/>
                <w:rFonts w:hint="eastAsia"/>
              </w:rPr>
              <w:t xml:space="preserve">, 방송장비</w:t>
            </w:r>
            <w:r>
              <w:rPr>
                <w:shd w:val="clear"/>
              </w:rPr>
              <w:t xml:space="preserve"> 제조업</w:t>
            </w:r>
            <w:r>
              <w:rPr>
                <w:shd w:val="clear"/>
                <w:rFonts w:hint="eastAsia"/>
              </w:rPr>
              <w:t xml:space="preserve">, 유선</w:t>
            </w:r>
            <w:r>
              <w:rPr>
                <w:shd w:val="clear"/>
              </w:rPr>
              <w:t xml:space="preserve"> 통신장비 제조업</w:t>
            </w:r>
            <w:r>
              <w:rPr>
                <w:shd w:val="clear"/>
                <w:rFonts w:hint="eastAsia"/>
              </w:rPr>
              <w:t xml:space="preserve"> </w:t>
            </w:r>
            <w:r>
              <w:rPr>
                <w:shd w:val="clear"/>
                <w:rFonts w:hint="eastAsia"/>
              </w:rPr>
              <w:t xml:space="preserve">순서로 업종들이 차지하는 것을 볼 수 있다. </w:t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예측 정확도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800" w:type="dxa"/>
              <w:tblLook w:val="0004A0" w:firstRow="1" w:lastRow="0" w:firstColumn="1" w:lastColumn="0" w:noHBand="0" w:noVBand="1"/>
              <w:tblLayout w:type="auto"/>
            </w:tblPr>
            <w:tblGrid>
              <w:gridCol w:w="4548"/>
              <w:gridCol w:w="4570"/>
            </w:tblGrid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Model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Test Accuracy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서울특별시 구 예측 기본 모델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0.6814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0.6990 ± 0.0039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10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0.7037 ± 0.0083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K-fold 15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0.7040 ± 0.0075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20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0.7030 ± 0.00158</w:t>
                  </w:r>
                </w:p>
              </w:tc>
            </w:tr>
          </w:tbl>
          <w:p>
            <w:pPr>
              <w:ind w:left="440" w:firstLine="0" w:leftChars="200"/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서울특별시 지역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25</w:t>
            </w:r>
            <w:r>
              <w:rPr>
                <w:shd w:val="clear"/>
                <w:rFonts w:hint="eastAsia"/>
              </w:rPr>
              <w:t xml:space="preserve">개의 구 예측 모델의 정확도는 대략 70%로 볼 수 있다.</w:t>
            </w:r>
          </w:p>
          <w:p>
            <w:pPr>
              <w:rPr>
                <w:shd w:val="clear"/>
              </w:rPr>
            </w:pPr>
          </w:p>
          <w:p>
            <w:pPr>
              <w:pStyle w:val="PO26"/>
              <w:numPr>
                <w:numId w:val="28"/>
                <w:ilvl w:val="0"/>
              </w:numPr>
              <w:jc w:val="both"/>
              <w:spacing w:lineRule="auto" w:line="335" w:after="0"/>
              <w:rPr>
                <w:b w:val="1"/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color w:val="000000"/>
                <w:shd w:val="clear"/>
                <w:rFonts w:cs="굴림" w:asciiTheme="majorHAnsi" w:eastAsiaTheme="majorHAnsi" w:hAnsiTheme="majorHAnsi" w:hint="eastAsia"/>
              </w:rPr>
              <w:t>세종특별자치시</w:t>
            </w:r>
          </w:p>
          <w:p>
            <w:pPr>
              <w:pStyle w:val="PO26"/>
              <w:numPr>
                <w:numId w:val="26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세종특별자치시 공장 데이터의 경우 총 816개의 데이터가 존재하였다. 총 70개의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리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로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분류하였다.</w:t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z w:val="20"/>
              </w:rPr>
              <w:drawing>
                <wp:inline distT="0" distB="0" distL="0" distR="0">
                  <wp:extent cx="5731510" cy="1127125"/>
                  <wp:effectExtent l="0" t="0" r="2540" b="0"/>
                  <wp:docPr id="7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C:/Users/vivid/AppData/Roaming/PolarisOffice/ETemp/9552_11243624/image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12776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/>
                <w:rFonts w:hint="eastAsia"/>
              </w:rPr>
              <w:t xml:space="preserve">대표업종 코드 18111, 25112, 30399, 25113, 22211 경</w:t>
            </w:r>
            <w:r>
              <w:rPr>
                <w:shd w:val="clear"/>
              </w:rPr>
              <w:t xml:space="preserve"> 인쇄업</w:t>
            </w:r>
            <w:r>
              <w:rPr>
                <w:shd w:val="clear"/>
                <w:rFonts w:hint="eastAsia"/>
              </w:rPr>
              <w:t xml:space="preserve">, 구조용</w:t>
            </w:r>
            <w:r>
              <w:rPr>
                <w:shd w:val="clear"/>
              </w:rPr>
              <w:t xml:space="preserve"> 금속 판제품 및 공</w:t>
            </w:r>
            <w:r>
              <w:rPr>
                <w:shd w:val="clear"/>
              </w:rPr>
              <w:t xml:space="preserve">작물 제조업</w:t>
            </w:r>
            <w:r>
              <w:rPr>
                <w:shd w:val="clear"/>
                <w:rFonts w:hint="eastAsia"/>
              </w:rPr>
              <w:t xml:space="preserve">, 그</w:t>
            </w:r>
            <w:r>
              <w:rPr>
                <w:shd w:val="clear"/>
              </w:rPr>
              <w:t xml:space="preserve"> 외 자동차용 신품 부품 제조업</w:t>
            </w:r>
            <w:r>
              <w:rPr>
                <w:shd w:val="clear"/>
                <w:rFonts w:hint="eastAsia"/>
              </w:rPr>
              <w:t xml:space="preserve">, 육상</w:t>
            </w:r>
            <w:r>
              <w:rPr>
                <w:shd w:val="clear"/>
              </w:rPr>
              <w:t xml:space="preserve"> 금속 골조 구조재 제조업, </w:t>
            </w:r>
            <w:r>
              <w:rPr>
                <w:shd w:val="clear"/>
                <w:rFonts w:hint="eastAsia"/>
              </w:rPr>
              <w:t>플라스틱</w:t>
            </w:r>
            <w:r>
              <w:rPr>
                <w:shd w:val="clear"/>
              </w:rPr>
              <w:t xml:space="preserve"> </w:t>
            </w:r>
            <w:r>
              <w:rPr>
                <w:shd w:val="clear"/>
              </w:rPr>
              <w:t xml:space="preserve">선, 봉, 관 및 호스 제조업</w:t>
            </w:r>
            <w:r>
              <w:rPr>
                <w:shd w:val="clear"/>
                <w:rFonts w:hint="eastAsia"/>
              </w:rPr>
              <w:t xml:space="preserve"> 순서로 업종들이 차지하는 것을 볼 수 있다. </w:t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예측 정확도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800" w:type="dxa"/>
              <w:tblLook w:val="0004A0" w:firstRow="1" w:lastRow="0" w:firstColumn="1" w:lastColumn="0" w:noHBand="0" w:noVBand="1"/>
              <w:tblLayout w:type="auto"/>
            </w:tblPr>
            <w:tblGrid>
              <w:gridCol w:w="4548"/>
              <w:gridCol w:w="4570"/>
            </w:tblGrid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Model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Test Accuracy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color w:val="000000"/>
                      <w:shd w:val="clear"/>
                      <w:rFonts w:cs="굴림" w:asciiTheme="majorHAnsi" w:eastAsiaTheme="majorHAnsi" w:hAnsiTheme="majorHAnsi" w:hint="eastAsia"/>
                    </w:rPr>
                    <w:t>세종특별자치시</w:t>
                  </w:r>
                  <w:r>
                    <w:rPr>
                      <w:shd w:val="clear"/>
                      <w:rFonts w:hint="eastAsia"/>
                    </w:rPr>
                    <w:t xml:space="preserve"> 리 예측 기본 모델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0.1376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K-fold 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0.2127 ± 0.0228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10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0.1991 ± 0.538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15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0.1839± 0.0448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20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0.1881 ± 0.0628</w:t>
                  </w:r>
                </w:p>
              </w:tc>
            </w:tr>
          </w:tbl>
          <w:p>
            <w:pPr>
              <w:ind w:left="440" w:firstLine="0" w:leftChars="200"/>
              <w:rPr>
                <w:shd w:val="clear"/>
              </w:rPr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세종특별자치시</w:t>
            </w:r>
            <w:r>
              <w:rPr>
                <w:shd w:val="clear"/>
                <w:rFonts w:hint="eastAsia"/>
              </w:rPr>
              <w:t xml:space="preserve"> 지역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113</w:t>
            </w:r>
            <w:r>
              <w:rPr>
                <w:shd w:val="clear"/>
                <w:rFonts w:hint="eastAsia"/>
              </w:rPr>
              <w:t xml:space="preserve">개의 리 예측 모델의 정확도는 대략 21%로 볼 수 있다.</w:t>
            </w:r>
          </w:p>
          <w:p>
            <w:pPr>
              <w:rPr>
                <w:shd w:val="clear"/>
              </w:rPr>
            </w:pPr>
          </w:p>
          <w:p>
            <w:pPr>
              <w:pStyle w:val="PO26"/>
              <w:numPr>
                <w:numId w:val="28"/>
                <w:ilvl w:val="0"/>
              </w:numPr>
              <w:jc w:val="both"/>
              <w:spacing w:lineRule="auto" w:line="335" w:after="0"/>
              <w:rPr>
                <w:b w:val="1"/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color w:val="000000"/>
                <w:shd w:val="clear"/>
                <w:rFonts w:cs="굴림" w:asciiTheme="majorHAnsi" w:eastAsiaTheme="majorHAnsi" w:hAnsiTheme="majorHAnsi" w:hint="eastAsia"/>
              </w:rPr>
              <w:t>울산광역시</w:t>
            </w:r>
          </w:p>
          <w:p>
            <w:pPr>
              <w:pStyle w:val="PO26"/>
              <w:numPr>
                <w:numId w:val="26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울산광역시 공장 데이터의 경우 총 2895개의 데이터가 존재하였다. 총 73개의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동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면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읍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으로 분류하였다.</w:t>
            </w:r>
          </w:p>
          <w:p>
            <w:pPr>
              <w:pStyle w:val="PO26"/>
              <w:jc w:val="both"/>
              <w:spacing w:lineRule="auto" w:line="335" w:after="0"/>
              <w:ind w:left="80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1053465"/>
                  <wp:effectExtent l="0" t="0" r="2540" b="0"/>
                  <wp:docPr id="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C:/Users/vivid/AppData/Roaming/PolarisOffice/ETemp/9552_11243624/image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05410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대표업종 코드 30399, 28123, 31114, 25113, 30320 그</w:t>
            </w:r>
            <w:r>
              <w:rPr>
                <w:shd w:val="clear"/>
              </w:rPr>
              <w:t xml:space="preserve"> 외 자동차용 신품 부품 제조업</w:t>
            </w:r>
            <w:r>
              <w:rPr>
                <w:shd w:val="clear"/>
                <w:rFonts w:hint="eastAsia"/>
              </w:rPr>
              <w:t xml:space="preserve">, 배</w:t>
            </w:r>
            <w:r>
              <w:rPr>
                <w:shd w:val="clear"/>
                <w:rFonts w:hint="eastAsia"/>
              </w:rPr>
              <w:t>전반</w:t>
            </w:r>
            <w:r>
              <w:rPr>
                <w:shd w:val="clear"/>
              </w:rPr>
              <w:t xml:space="preserve"> 및 전기 자동제어반 제조업</w:t>
            </w:r>
            <w:r>
              <w:rPr>
                <w:shd w:val="clear"/>
                <w:rFonts w:hint="eastAsia"/>
              </w:rPr>
              <w:t xml:space="preserve">, 선박</w:t>
            </w:r>
            <w:r>
              <w:rPr>
                <w:shd w:val="clear"/>
              </w:rPr>
              <w:t xml:space="preserve"> 구성 부분품 제조업</w:t>
            </w:r>
            <w:r>
              <w:rPr>
                <w:shd w:val="clear"/>
                <w:rFonts w:hint="eastAsia"/>
              </w:rPr>
              <w:t xml:space="preserve">, 육상</w:t>
            </w:r>
            <w:r>
              <w:rPr>
                <w:shd w:val="clear"/>
              </w:rPr>
              <w:t xml:space="preserve"> 금속 골조 구조재 제조</w:t>
            </w:r>
            <w:r>
              <w:rPr>
                <w:shd w:val="clear"/>
              </w:rPr>
              <w:t>업</w:t>
            </w:r>
            <w:r>
              <w:rPr>
                <w:shd w:val="clear"/>
                <w:rFonts w:hint="eastAsia"/>
              </w:rPr>
              <w:t xml:space="preserve">, 자동차</w:t>
            </w:r>
            <w:r>
              <w:rPr>
                <w:shd w:val="clear"/>
              </w:rPr>
              <w:t xml:space="preserve"> 차체용 신품 부품 제조업</w:t>
            </w:r>
            <w:r>
              <w:rPr>
                <w:shd w:val="clear"/>
                <w:rFonts w:hint="eastAsia"/>
              </w:rPr>
              <w:t xml:space="preserve"> 순서로 업종들이 차지하는 것을 볼 수 있다. </w:t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예측 정확도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800" w:type="dxa"/>
              <w:tblLook w:val="0004A0" w:firstRow="1" w:lastRow="0" w:firstColumn="1" w:lastColumn="0" w:noHBand="0" w:noVBand="1"/>
              <w:tblLayout w:type="auto"/>
            </w:tblPr>
            <w:tblGrid>
              <w:gridCol w:w="4548"/>
              <w:gridCol w:w="4570"/>
            </w:tblGrid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Model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Test Accuracy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울산광역시 동/면/읍 예측 기본 모델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0.4333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K-fold 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0.4615 ± 0.0132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10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0.3264 ± 0.0276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15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0.3215 ± 0.0223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20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0.3222 ± 0.0291</w:t>
                  </w:r>
                </w:p>
              </w:tc>
            </w:tr>
          </w:tbl>
          <w:p>
            <w:pPr>
              <w:jc w:val="left"/>
              <w:spacing w:lineRule="auto" w:line="240" w:before="0" w:after="0"/>
              <w:ind w:left="800" w:right="0" w:firstLine="0"/>
              <w:rPr>
                <w:shd w:val="clear"/>
              </w:rPr>
            </w:pPr>
          </w:p>
          <w:p>
            <w:pPr>
              <w:ind w:left="440" w:firstLine="0" w:leftChars="200"/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울산광역시 지역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73</w:t>
            </w:r>
            <w:r>
              <w:rPr>
                <w:shd w:val="clear"/>
                <w:rFonts w:hint="eastAsia"/>
              </w:rPr>
              <w:t xml:space="preserve">개의 동/면/읍 예측 모델의 정확도는 대략 46%로 볼 수 있다.</w:t>
            </w:r>
          </w:p>
          <w:p>
            <w:pPr>
              <w:rPr>
                <w:shd w:val="clear"/>
              </w:rPr>
            </w:pPr>
          </w:p>
          <w:p>
            <w:pPr>
              <w:pStyle w:val="PO26"/>
              <w:numPr>
                <w:numId w:val="28"/>
                <w:ilvl w:val="0"/>
              </w:numPr>
              <w:jc w:val="both"/>
              <w:spacing w:lineRule="auto" w:line="335" w:after="0"/>
              <w:rPr>
                <w:b w:val="1"/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color w:val="000000"/>
                <w:shd w:val="clear"/>
                <w:rFonts w:cs="굴림" w:asciiTheme="majorHAnsi" w:eastAsiaTheme="majorHAnsi" w:hAnsiTheme="majorHAnsi" w:hint="eastAsia"/>
              </w:rPr>
              <w:t>인천광역시</w:t>
            </w:r>
          </w:p>
          <w:p>
            <w:pPr>
              <w:pStyle w:val="PO26"/>
              <w:numPr>
                <w:numId w:val="26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인천광역시 공장 데이터의 경우 총 12175개의 데이터가 존재하였다. 총 73개의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동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으로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분류하였다.</w:t>
            </w:r>
          </w:p>
          <w:p>
            <w:pPr>
              <w:pStyle w:val="PO26"/>
              <w:jc w:val="both"/>
              <w:spacing w:lineRule="auto" w:line="335" w:after="0"/>
              <w:ind w:left="80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1662430"/>
                  <wp:effectExtent l="0" t="0" r="2540" b="0"/>
                  <wp:docPr id="7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C:/Users/vivid/AppData/Roaming/PolarisOffice/ETemp/9552_11243624/image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66306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대표업종 코드 25924, 29294, 25922, 26299, 28123 절삭</w:t>
            </w:r>
            <w:r>
              <w:rPr>
                <w:shd w:val="clear"/>
              </w:rPr>
              <w:t xml:space="preserve"> 가공 및 유사 처리업</w:t>
            </w:r>
            <w:r>
              <w:rPr>
                <w:shd w:val="clear"/>
                <w:rFonts w:hint="eastAsia"/>
              </w:rPr>
              <w:t xml:space="preserve">, 주형</w:t>
            </w:r>
            <w:r>
              <w:rPr>
                <w:shd w:val="clear"/>
              </w:rPr>
              <w:t xml:space="preserve"> 및 금</w:t>
            </w:r>
            <w:r>
              <w:rPr>
                <w:shd w:val="clear"/>
              </w:rPr>
              <w:t xml:space="preserve">형 제조업</w:t>
            </w:r>
            <w:r>
              <w:rPr>
                <w:shd w:val="clear"/>
                <w:rFonts w:hint="eastAsia"/>
              </w:rPr>
              <w:t xml:space="preserve">, 도금업, 그</w:t>
            </w:r>
            <w:r>
              <w:rPr>
                <w:shd w:val="clear"/>
              </w:rPr>
              <w:t xml:space="preserve"> 외 기타 전자 부품 제조업</w:t>
            </w:r>
            <w:r>
              <w:rPr>
                <w:shd w:val="clear"/>
                <w:rFonts w:hint="eastAsia"/>
              </w:rPr>
              <w:t xml:space="preserve">, 배전반</w:t>
            </w:r>
            <w:r>
              <w:rPr>
                <w:shd w:val="clear"/>
              </w:rPr>
              <w:t xml:space="preserve"> 및 전기 자동제어반 제조업</w:t>
            </w:r>
            <w:r>
              <w:rPr>
                <w:shd w:val="clear"/>
                <w:rFonts w:hint="eastAsia"/>
              </w:rPr>
              <w:t xml:space="preserve"> 순</w:t>
            </w:r>
            <w:r>
              <w:rPr>
                <w:shd w:val="clear"/>
                <w:rFonts w:hint="eastAsia"/>
              </w:rPr>
              <w:t xml:space="preserve">서로 업종들이 차지하는 것을 볼 수 있다. </w:t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예측 정확도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800" w:type="dxa"/>
              <w:tblLook w:val="0004A0" w:firstRow="1" w:lastRow="0" w:firstColumn="1" w:lastColumn="0" w:noHBand="0" w:noVBand="1"/>
              <w:tblLayout w:type="auto"/>
            </w:tblPr>
            <w:tblGrid>
              <w:gridCol w:w="4548"/>
              <w:gridCol w:w="4570"/>
            </w:tblGrid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Model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Test Accuracy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인천광역시 동 예측 기본 모델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0.5646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0.5820 ± 0.050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10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0.5840 ± 0.0050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15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0.5833± 0.0098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K-fold 20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0.5858± 0.0176</w:t>
                  </w:r>
                </w:p>
              </w:tc>
            </w:tr>
          </w:tbl>
          <w:p>
            <w:pPr>
              <w:ind w:left="440" w:firstLine="0" w:leftChars="200"/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인천광역시 지역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101</w:t>
            </w:r>
            <w:r>
              <w:rPr>
                <w:shd w:val="clear"/>
                <w:rFonts w:hint="eastAsia"/>
              </w:rPr>
              <w:t xml:space="preserve">개의 동 예측 모델의 정확도는 대략 58%로 볼 수 있다.</w:t>
            </w:r>
          </w:p>
          <w:p>
            <w:pPr>
              <w:rPr>
                <w:shd w:val="clear"/>
              </w:rPr>
            </w:pPr>
          </w:p>
          <w:p>
            <w:pPr>
              <w:pStyle w:val="PO26"/>
              <w:numPr>
                <w:numId w:val="28"/>
                <w:ilvl w:val="0"/>
              </w:numPr>
              <w:jc w:val="both"/>
              <w:spacing w:lineRule="auto" w:line="335" w:after="0"/>
              <w:rPr>
                <w:b w:val="1"/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color w:val="000000"/>
                <w:shd w:val="clear"/>
                <w:rFonts w:cs="굴림" w:asciiTheme="majorHAnsi" w:eastAsiaTheme="majorHAnsi" w:hAnsiTheme="majorHAnsi" w:hint="eastAsia"/>
              </w:rPr>
              <w:t>전라남도</w:t>
            </w:r>
          </w:p>
          <w:p>
            <w:pPr>
              <w:pStyle w:val="PO26"/>
              <w:numPr>
                <w:numId w:val="26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전라남도 공장 데이터의 경우 총 7183개의 데이터가 존재하였다. 총 261개의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동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읍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면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으로 분류하였다.</w:t>
            </w:r>
          </w:p>
          <w:p>
            <w:pPr>
              <w:pStyle w:val="PO26"/>
              <w:jc w:val="both"/>
              <w:spacing w:lineRule="auto" w:line="335" w:after="0"/>
              <w:ind w:left="80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3942715"/>
                  <wp:effectExtent l="0" t="0" r="2540" b="635"/>
                  <wp:docPr id="8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C:/Users/vivid/AppData/Roaming/PolarisOffice/ETemp/9552_11243624/image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94335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대표업종 코드 10220, 25113, 31114, 28123, 10611 수산식물</w:t>
            </w:r>
            <w:r>
              <w:rPr>
                <w:shd w:val="clear"/>
              </w:rPr>
              <w:t xml:space="preserve"> 가공 및 저장 처리업</w:t>
            </w:r>
            <w:r>
              <w:rPr>
                <w:shd w:val="clear"/>
                <w:rFonts w:hint="eastAsia"/>
              </w:rPr>
              <w:t xml:space="preserve">, 육상</w:t>
            </w:r>
            <w:r>
              <w:rPr>
                <w:shd w:val="clear"/>
              </w:rPr>
              <w:t xml:space="preserve"> </w:t>
            </w:r>
            <w:r>
              <w:rPr>
                <w:shd w:val="clear"/>
              </w:rPr>
              <w:t xml:space="preserve">금속 골조 구조재 제조업</w:t>
            </w:r>
            <w:r>
              <w:rPr>
                <w:shd w:val="clear"/>
                <w:rFonts w:hint="eastAsia"/>
              </w:rPr>
              <w:t xml:space="preserve">, 선박</w:t>
            </w:r>
            <w:r>
              <w:rPr>
                <w:shd w:val="clear"/>
              </w:rPr>
              <w:t xml:space="preserve"> 구성 부분품 제조업</w:t>
            </w:r>
            <w:r>
              <w:rPr>
                <w:shd w:val="clear"/>
                <w:rFonts w:hint="eastAsia"/>
              </w:rPr>
              <w:t xml:space="preserve">, 배전반</w:t>
            </w:r>
            <w:r>
              <w:rPr>
                <w:shd w:val="clear"/>
              </w:rPr>
              <w:t xml:space="preserve"> 및 전기 자동제어반 제조업</w:t>
            </w:r>
            <w:r>
              <w:rPr>
                <w:shd w:val="clear"/>
                <w:rFonts w:hint="eastAsia"/>
              </w:rPr>
              <w:t xml:space="preserve">, </w:t>
            </w:r>
            <w:r>
              <w:rPr>
                <w:shd w:val="clear"/>
                <w:rFonts w:hint="eastAsia"/>
              </w:rPr>
              <w:t>곡물</w:t>
            </w:r>
            <w:r>
              <w:rPr>
                <w:shd w:val="clear"/>
              </w:rPr>
              <w:t xml:space="preserve"> 도정업</w:t>
            </w:r>
            <w:r>
              <w:rPr>
                <w:shd w:val="clear"/>
                <w:rFonts w:hint="eastAsia"/>
              </w:rPr>
              <w:t xml:space="preserve"> 순서로 업종들이 차지하는 것을 볼 수 있다. </w:t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예측 정확도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800" w:type="dxa"/>
              <w:tblLook w:val="0004A0" w:firstRow="1" w:lastRow="0" w:firstColumn="1" w:lastColumn="0" w:noHBand="0" w:noVBand="1"/>
              <w:tblLayout w:type="auto"/>
            </w:tblPr>
            <w:tblGrid>
              <w:gridCol w:w="4548"/>
              <w:gridCol w:w="4570"/>
            </w:tblGrid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Model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Test Accuracy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전라남도 동/읍/면 예측 기본 모델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0.2614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0.2737 ± 0.0055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10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0.2818 ± 0.0093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15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0.2820 ± 0.0122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K-fold 20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0.2841 ± 0.0175</w:t>
                  </w:r>
                </w:p>
              </w:tc>
            </w:tr>
          </w:tbl>
          <w:p>
            <w:pPr>
              <w:ind w:left="440" w:firstLine="0" w:leftChars="200"/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전라남도 지역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261</w:t>
            </w:r>
            <w:r>
              <w:rPr>
                <w:shd w:val="clear"/>
                <w:rFonts w:hint="eastAsia"/>
              </w:rPr>
              <w:t xml:space="preserve">개의 동/읍/면 예측 모델의 정확도는 대략 28%로 볼 수 있다. </w:t>
            </w:r>
          </w:p>
          <w:p>
            <w:pPr>
              <w:rPr>
                <w:shd w:val="clear"/>
              </w:rPr>
            </w:pPr>
          </w:p>
          <w:p>
            <w:pPr>
              <w:pStyle w:val="PO26"/>
              <w:numPr>
                <w:numId w:val="28"/>
                <w:ilvl w:val="0"/>
              </w:numPr>
              <w:jc w:val="both"/>
              <w:spacing w:lineRule="auto" w:line="335" w:after="0"/>
              <w:rPr>
                <w:b w:val="1"/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color w:val="000000"/>
                <w:shd w:val="clear"/>
                <w:rFonts w:cs="굴림" w:asciiTheme="majorHAnsi" w:eastAsiaTheme="majorHAnsi" w:hAnsiTheme="majorHAnsi" w:hint="eastAsia"/>
              </w:rPr>
              <w:t>전라북도</w:t>
            </w:r>
          </w:p>
          <w:p>
            <w:pPr>
              <w:pStyle w:val="PO26"/>
              <w:numPr>
                <w:numId w:val="26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전라북도 공장 데이터의 경우 총 7002개의 데이터가 존재하였다. 총 239개의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구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동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읍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면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으로 분류하였다.</w:t>
            </w:r>
          </w:p>
          <w:p>
            <w:pPr>
              <w:pStyle w:val="PO26"/>
              <w:jc w:val="both"/>
              <w:spacing w:lineRule="auto" w:line="335" w:after="0"/>
              <w:ind w:left="80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3583940"/>
                  <wp:effectExtent l="0" t="0" r="2540" b="0"/>
                  <wp:docPr id="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C:/Users/vivid/AppData/Roaming/PolarisOffice/ETemp/9552_11243624/image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58457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대표업종 코드 30399, 25113, 23911, 10611, 25112 그</w:t>
            </w:r>
            <w:r>
              <w:rPr>
                <w:shd w:val="clear"/>
              </w:rPr>
              <w:t xml:space="preserve"> 외 자동차용 신품 부품 제조업</w:t>
            </w:r>
            <w:r>
              <w:rPr>
                <w:shd w:val="clear"/>
                <w:rFonts w:hint="eastAsia"/>
              </w:rPr>
              <w:t xml:space="preserve">, 육</w:t>
            </w:r>
            <w:r>
              <w:rPr>
                <w:shd w:val="clear"/>
                <w:rFonts w:hint="eastAsia"/>
              </w:rPr>
              <w:t>상</w:t>
            </w:r>
            <w:r>
              <w:rPr>
                <w:shd w:val="clear"/>
              </w:rPr>
              <w:t xml:space="preserve"> 금속 골조 구조재 제조업</w:t>
            </w:r>
            <w:r>
              <w:rPr>
                <w:shd w:val="clear"/>
                <w:rFonts w:hint="eastAsia"/>
              </w:rPr>
              <w:t xml:space="preserve">, 건설용</w:t>
            </w:r>
            <w:r>
              <w:rPr>
                <w:shd w:val="clear"/>
              </w:rPr>
              <w:t xml:space="preserve"> 석제품 제조업</w:t>
            </w:r>
            <w:r>
              <w:rPr>
                <w:shd w:val="clear"/>
                <w:rFonts w:hint="eastAsia"/>
              </w:rPr>
              <w:t xml:space="preserve">, 곡물</w:t>
            </w:r>
            <w:r>
              <w:rPr>
                <w:shd w:val="clear"/>
              </w:rPr>
              <w:t xml:space="preserve"> 도정업</w:t>
            </w:r>
            <w:r>
              <w:rPr>
                <w:shd w:val="clear"/>
                <w:rFonts w:hint="eastAsia"/>
              </w:rPr>
              <w:t xml:space="preserve">, 구조용</w:t>
            </w:r>
            <w:r>
              <w:rPr>
                <w:shd w:val="clear"/>
              </w:rPr>
              <w:t xml:space="preserve"> 금속 판제품 및 </w:t>
            </w:r>
            <w:r>
              <w:rPr>
                <w:shd w:val="clear"/>
              </w:rPr>
              <w:t xml:space="preserve">공작물 제조업</w:t>
            </w:r>
            <w:r>
              <w:rPr>
                <w:shd w:val="clear"/>
                <w:rFonts w:hint="eastAsia"/>
              </w:rPr>
              <w:t xml:space="preserve"> 순서로 업종들이 차지하는 것을 볼 수 있다. </w:t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예측 정확도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800" w:type="dxa"/>
              <w:tblLook w:val="0004A0" w:firstRow="1" w:lastRow="0" w:firstColumn="1" w:lastColumn="0" w:noHBand="0" w:noVBand="1"/>
              <w:tblLayout w:type="auto"/>
            </w:tblPr>
            <w:tblGrid>
              <w:gridCol w:w="4548"/>
              <w:gridCol w:w="4570"/>
            </w:tblGrid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Model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Test Accuracy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전라북도 구/동/읍/면 예측 기본 모델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0.3186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0.3274 ± 0.0111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10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0.3316 ± 0.0107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K-fold 15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0.3358± 0.0181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20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0.3298 ± 0.0210</w:t>
                  </w:r>
                </w:p>
              </w:tc>
            </w:tr>
          </w:tbl>
          <w:p>
            <w:pPr>
              <w:ind w:left="440" w:firstLine="0" w:leftChars="200"/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전라북도 지역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239</w:t>
            </w:r>
            <w:r>
              <w:rPr>
                <w:shd w:val="clear"/>
                <w:rFonts w:hint="eastAsia"/>
              </w:rPr>
              <w:t xml:space="preserve">개의 구/동/읍/면 예측 모델의 정확도는 대략 33%로 볼 수 있다. </w:t>
            </w:r>
          </w:p>
          <w:p>
            <w:pPr>
              <w:rPr>
                <w:shd w:val="clear"/>
              </w:rPr>
            </w:pPr>
          </w:p>
          <w:p>
            <w:pPr>
              <w:pStyle w:val="PO26"/>
              <w:numPr>
                <w:numId w:val="28"/>
                <w:ilvl w:val="0"/>
              </w:numPr>
              <w:jc w:val="both"/>
              <w:spacing w:lineRule="auto" w:line="335" w:after="0"/>
              <w:rPr>
                <w:b w:val="1"/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color w:val="000000"/>
                <w:shd w:val="clear"/>
                <w:rFonts w:cs="굴림" w:asciiTheme="majorHAnsi" w:eastAsiaTheme="majorHAnsi" w:hAnsiTheme="majorHAnsi" w:hint="eastAsia"/>
              </w:rPr>
              <w:t>제주특별자치도</w:t>
            </w:r>
          </w:p>
          <w:p>
            <w:pPr>
              <w:pStyle w:val="PO26"/>
              <w:numPr>
                <w:numId w:val="26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제주특별자치도 공장 데이터의 경우 총 693개의 데이터가 존재하였다. 총 37개의 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동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읍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면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으로 분류하였다.</w:t>
            </w:r>
          </w:p>
          <w:p>
            <w:pPr>
              <w:pStyle w:val="PO26"/>
              <w:jc w:val="both"/>
              <w:spacing w:lineRule="auto" w:line="335" w:after="0"/>
              <w:ind w:left="80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721360"/>
                  <wp:effectExtent l="0" t="0" r="2540" b="2540"/>
                  <wp:docPr id="8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C:/Users/vivid/AppData/Roaming/PolarisOffice/ETemp/9552_11243624/image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72199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대표업종 코드 28123, 10309, 23322, 10129, 10219 배전반</w:t>
            </w:r>
            <w:r>
              <w:rPr>
                <w:shd w:val="clear"/>
              </w:rPr>
              <w:t xml:space="preserve"> 및 전기 자동제어반 제조업</w:t>
            </w:r>
            <w:r>
              <w:rPr>
                <w:shd w:val="clear"/>
                <w:rFonts w:hint="eastAsia"/>
              </w:rPr>
              <w:t xml:space="preserve">, 기</w:t>
            </w:r>
            <w:r>
              <w:rPr>
                <w:shd w:val="clear"/>
                <w:rFonts w:hint="eastAsia"/>
              </w:rPr>
              <w:t>타</w:t>
            </w:r>
            <w:r>
              <w:rPr>
                <w:shd w:val="clear"/>
              </w:rPr>
              <w:t xml:space="preserve"> 과실ㆍ채소 가공 및 저장 처리업</w:t>
            </w:r>
            <w:r>
              <w:rPr>
                <w:shd w:val="clear"/>
                <w:rFonts w:hint="eastAsia"/>
              </w:rPr>
              <w:t xml:space="preserve">, 레미콘</w:t>
            </w:r>
            <w:r>
              <w:rPr>
                <w:shd w:val="clear"/>
              </w:rPr>
              <w:t xml:space="preserve"> 제조업</w:t>
            </w:r>
            <w:r>
              <w:rPr>
                <w:shd w:val="clear"/>
                <w:rFonts w:hint="eastAsia"/>
              </w:rPr>
              <w:t xml:space="preserve">, 육류</w:t>
            </w:r>
            <w:r>
              <w:rPr>
                <w:shd w:val="clear"/>
              </w:rPr>
              <w:t xml:space="preserve"> 기타 가공 및 저장 처리업(가금</w:t>
            </w:r>
            <w:r>
              <w:rPr>
                <w:shd w:val="clear"/>
              </w:rPr>
              <w:t xml:space="preserve">류 제외)</w:t>
            </w:r>
            <w:r>
              <w:rPr>
                <w:shd w:val="clear"/>
                <w:rFonts w:hint="eastAsia"/>
              </w:rPr>
              <w:t xml:space="preserve">, 기타</w:t>
            </w:r>
            <w:r>
              <w:rPr>
                <w:shd w:val="clear"/>
              </w:rPr>
              <w:t xml:space="preserve"> 수산동물 가공 및 저장 처리업</w:t>
            </w:r>
            <w:r>
              <w:rPr>
                <w:shd w:val="clear"/>
                <w:rFonts w:hint="eastAsia"/>
              </w:rPr>
              <w:t xml:space="preserve"> 순서로 업종들이 차지하는 것을 볼 수 있</w:t>
            </w:r>
            <w:r>
              <w:rPr>
                <w:shd w:val="clear"/>
                <w:rFonts w:hint="eastAsia"/>
              </w:rPr>
              <w:t xml:space="preserve">다. </w:t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예측 정확도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800" w:type="dxa"/>
              <w:tblLook w:val="0004A0" w:firstRow="1" w:lastRow="0" w:firstColumn="1" w:lastColumn="0" w:noHBand="0" w:noVBand="1"/>
              <w:tblLayout w:type="auto"/>
            </w:tblPr>
            <w:tblGrid>
              <w:gridCol w:w="4548"/>
              <w:gridCol w:w="4570"/>
            </w:tblGrid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Model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Test Accuracy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제주특별자치도 동/읍/면 예측 기본 모델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>0.3434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0.2833 ± 0.0103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10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0.2939 ± 0.0289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15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0.2818± 0.0430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20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0.2924± 0.0815</w:t>
                  </w:r>
                </w:p>
              </w:tc>
            </w:tr>
          </w:tbl>
          <w:p>
            <w:pPr>
              <w:ind w:left="440" w:firstLine="0" w:leftChars="200"/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전라북도 지역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239</w:t>
            </w:r>
            <w:r>
              <w:rPr>
                <w:shd w:val="clear"/>
                <w:rFonts w:hint="eastAsia"/>
              </w:rPr>
              <w:t xml:space="preserve">개의 구/동/읍/면 예측 모델의 정확도는 대략 34%로 볼 수 있다.</w:t>
            </w:r>
          </w:p>
          <w:p>
            <w:pPr>
              <w:rPr>
                <w:shd w:val="clear"/>
              </w:rPr>
            </w:pPr>
          </w:p>
          <w:p>
            <w:pPr>
              <w:pStyle w:val="PO26"/>
              <w:numPr>
                <w:numId w:val="28"/>
                <w:ilvl w:val="0"/>
              </w:numPr>
              <w:jc w:val="both"/>
              <w:spacing w:lineRule="auto" w:line="335" w:after="0"/>
              <w:rPr>
                <w:b w:val="1"/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color w:val="000000"/>
                <w:shd w:val="clear"/>
                <w:rFonts w:cs="굴림" w:asciiTheme="majorHAnsi" w:eastAsiaTheme="majorHAnsi" w:hAnsiTheme="majorHAnsi" w:hint="eastAsia"/>
              </w:rPr>
              <w:t>충청남도</w:t>
            </w:r>
          </w:p>
          <w:p>
            <w:pPr>
              <w:pStyle w:val="PO26"/>
              <w:numPr>
                <w:numId w:val="26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충청남도 공장 데이터의 경우 총 10754의 데이터가 존재하였다. 총 193개의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동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읍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면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으로 분류하였다.</w:t>
            </w:r>
          </w:p>
          <w:p>
            <w:pPr>
              <w:pStyle w:val="PO26"/>
              <w:jc w:val="both"/>
              <w:spacing w:lineRule="auto" w:line="335" w:after="0"/>
              <w:ind w:left="80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3211830"/>
                  <wp:effectExtent l="0" t="0" r="2540" b="7620"/>
                  <wp:docPr id="8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C:/Users/vivid/AppData/Roaming/PolarisOffice/ETemp/9552_11243624/image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21246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대표업종 코드 30399, 25113, 29271, 28123, 25112 그</w:t>
            </w:r>
            <w:r>
              <w:rPr>
                <w:shd w:val="clear"/>
              </w:rPr>
              <w:t xml:space="preserve"> 외 자동차용 신품 부품 제조업</w:t>
            </w:r>
            <w:r>
              <w:rPr>
                <w:shd w:val="clear"/>
                <w:rFonts w:hint="eastAsia"/>
              </w:rPr>
              <w:t xml:space="preserve">, 육</w:t>
            </w:r>
            <w:r>
              <w:rPr>
                <w:shd w:val="clear"/>
                <w:rFonts w:hint="eastAsia"/>
              </w:rPr>
              <w:t>상</w:t>
            </w:r>
            <w:r>
              <w:rPr>
                <w:shd w:val="clear"/>
              </w:rPr>
              <w:t xml:space="preserve"> 금속 골조 구조재 제조업</w:t>
            </w:r>
            <w:r>
              <w:rPr>
                <w:shd w:val="clear"/>
                <w:rFonts w:hint="eastAsia"/>
              </w:rPr>
              <w:t xml:space="preserve">, 반도체</w:t>
            </w:r>
            <w:r>
              <w:rPr>
                <w:shd w:val="clear"/>
              </w:rPr>
              <w:t xml:space="preserve"> 제조용 기계 제조업</w:t>
            </w:r>
            <w:r>
              <w:rPr>
                <w:shd w:val="clear"/>
                <w:rFonts w:hint="eastAsia"/>
              </w:rPr>
              <w:t xml:space="preserve">, 배전반</w:t>
            </w:r>
            <w:r>
              <w:rPr>
                <w:shd w:val="clear"/>
              </w:rPr>
              <w:t xml:space="preserve"> 및 전기 자동제어반 제</w:t>
            </w:r>
            <w:r>
              <w:rPr>
                <w:shd w:val="clear"/>
              </w:rPr>
              <w:t>조업</w:t>
            </w:r>
            <w:r>
              <w:rPr>
                <w:shd w:val="clear"/>
                <w:rFonts w:hint="eastAsia"/>
              </w:rPr>
              <w:t xml:space="preserve">, 구조용</w:t>
            </w:r>
            <w:r>
              <w:rPr>
                <w:shd w:val="clear"/>
              </w:rPr>
              <w:t xml:space="preserve"> 금속 판제품 및 공작물 제조업</w:t>
            </w:r>
            <w:r>
              <w:rPr>
                <w:shd w:val="clear"/>
                <w:rFonts w:hint="eastAsia"/>
              </w:rPr>
              <w:t xml:space="preserve"> 순서로 업종들이 차지하는 것을 볼 수 있다. </w:t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예측 정확도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800" w:type="dxa"/>
              <w:tblLook w:val="0004A0" w:firstRow="1" w:lastRow="0" w:firstColumn="1" w:lastColumn="0" w:noHBand="0" w:noVBand="1"/>
              <w:tblLayout w:type="auto"/>
            </w:tblPr>
            <w:tblGrid>
              <w:gridCol w:w="4548"/>
              <w:gridCol w:w="4570"/>
            </w:tblGrid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Model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Test Accuracy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충청남도 동/읍/면 예측 기본 모델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0.2484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0.2539 ± 0.0095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10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0.2624 ± 0.0117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15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0.26000 ± 0.0190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K-fold 20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0.2641± 0.0152</w:t>
                  </w:r>
                </w:p>
              </w:tc>
            </w:tr>
          </w:tbl>
          <w:p>
            <w:pPr>
              <w:ind w:left="440" w:firstLine="0" w:leftChars="200"/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충청남도 지역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239</w:t>
            </w:r>
            <w:r>
              <w:rPr>
                <w:shd w:val="clear"/>
                <w:rFonts w:hint="eastAsia"/>
              </w:rPr>
              <w:t xml:space="preserve">개의 동/읍/면 예측 모델의 정확도는 대략 26%로 볼 수 있으며 높은 정확</w:t>
            </w:r>
            <w:r>
              <w:rPr>
                <w:shd w:val="clear"/>
                <w:rFonts w:hint="eastAsia"/>
              </w:rPr>
              <w:t xml:space="preserve">도인 것을 나타내고 있다.</w:t>
            </w:r>
          </w:p>
          <w:p>
            <w:pPr>
              <w:rPr>
                <w:shd w:val="clear"/>
              </w:rPr>
            </w:pPr>
          </w:p>
          <w:p>
            <w:pPr>
              <w:pStyle w:val="PO26"/>
              <w:numPr>
                <w:numId w:val="28"/>
                <w:ilvl w:val="0"/>
              </w:numPr>
              <w:jc w:val="both"/>
              <w:spacing w:lineRule="auto" w:line="335" w:after="0"/>
              <w:rPr>
                <w:b w:val="1"/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color w:val="000000"/>
                <w:shd w:val="clear"/>
                <w:rFonts w:cs="굴림" w:asciiTheme="majorHAnsi" w:eastAsiaTheme="majorHAnsi" w:hAnsiTheme="majorHAnsi" w:hint="eastAsia"/>
              </w:rPr>
              <w:t>충청북도</w:t>
            </w:r>
          </w:p>
          <w:p>
            <w:pPr>
              <w:pStyle w:val="PO26"/>
              <w:numPr>
                <w:numId w:val="26"/>
                <w:ilvl w:val="0"/>
              </w:num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충청북도 공장 데이터의 경우 총 9014의 데이터가 존재하였다. 총 107개의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동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읍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, 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‘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면</w:t>
            </w:r>
            <w:r>
              <w:rPr>
                <w:color w:val="000000"/>
                <w:shd w:val="clear"/>
                <w:rFonts w:cs="굴림" w:asciiTheme="majorHAnsi" w:eastAsiaTheme="majorHAnsi" w:hAnsiTheme="majorHAnsi"/>
              </w:rPr>
              <w:t>’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으로 분류하였다.</w:t>
            </w:r>
          </w:p>
          <w:p>
            <w:pPr>
              <w:pStyle w:val="PO26"/>
              <w:jc w:val="both"/>
              <w:spacing w:lineRule="auto" w:line="335" w:after="0"/>
              <w:ind w:left="800" w:firstLine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731510" cy="1875790"/>
                  <wp:effectExtent l="0" t="0" r="2540" b="0"/>
                  <wp:docPr id="8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C:/Users/vivid/AppData/Roaming/PolarisOffice/ETemp/9552_11243624/image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87642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대표업종 코드 25113, 25112, 25111, 28123, 10309 육상</w:t>
            </w:r>
            <w:r>
              <w:rPr>
                <w:shd w:val="clear"/>
              </w:rPr>
              <w:t xml:space="preserve"> 금속 골조 구조재 제조업</w:t>
            </w:r>
            <w:r>
              <w:rPr>
                <w:shd w:val="clear"/>
                <w:rFonts w:hint="eastAsia"/>
              </w:rPr>
              <w:t xml:space="preserve">, 구조용</w:t>
            </w:r>
            <w:r>
              <w:rPr>
                <w:shd w:val="clear"/>
              </w:rPr>
              <w:t xml:space="preserve"> </w:t>
            </w:r>
            <w:r>
              <w:rPr>
                <w:shd w:val="clear"/>
              </w:rPr>
              <w:t xml:space="preserve">금속 판제품 및 공작물 제조업</w:t>
            </w:r>
            <w:r>
              <w:rPr>
                <w:shd w:val="clear"/>
                <w:rFonts w:hint="eastAsia"/>
              </w:rPr>
              <w:t xml:space="preserve"> , 금속</w:t>
            </w:r>
            <w:r>
              <w:rPr>
                <w:shd w:val="clear"/>
              </w:rPr>
              <w:t xml:space="preserve"> 문, 창, 셔터 및 관련제품 제조업</w:t>
            </w:r>
            <w:r>
              <w:rPr>
                <w:shd w:val="clear"/>
                <w:rFonts w:hint="eastAsia"/>
              </w:rPr>
              <w:t xml:space="preserve">, 배전반</w:t>
            </w:r>
            <w:r>
              <w:rPr>
                <w:shd w:val="clear"/>
              </w:rPr>
              <w:t xml:space="preserve"> 및 전기 </w:t>
            </w:r>
            <w:r>
              <w:rPr>
                <w:shd w:val="clear"/>
              </w:rPr>
              <w:t xml:space="preserve">자동제어반 제조업</w:t>
            </w:r>
            <w:r>
              <w:rPr>
                <w:shd w:val="clear"/>
                <w:rFonts w:hint="eastAsia"/>
              </w:rPr>
              <w:t xml:space="preserve">, 기타</w:t>
            </w:r>
            <w:r>
              <w:rPr>
                <w:shd w:val="clear"/>
              </w:rPr>
              <w:t xml:space="preserve"> 과실ㆍ채소 가공 및 저장 처리업</w:t>
            </w:r>
            <w:r>
              <w:rPr>
                <w:shd w:val="clear"/>
                <w:rFonts w:hint="eastAsia"/>
              </w:rPr>
              <w:t xml:space="preserve"> 순서로 업종들이 차지하는 것</w:t>
            </w:r>
            <w:r>
              <w:rPr>
                <w:shd w:val="clear"/>
                <w:rFonts w:hint="eastAsia"/>
              </w:rPr>
              <w:t xml:space="preserve">을 볼 수 있다. </w:t>
            </w:r>
          </w:p>
          <w:p>
            <w:pPr>
              <w:pStyle w:val="PO26"/>
              <w:numPr>
                <w:numId w:val="26"/>
                <w:ilvl w:val="0"/>
              </w:numPr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예측 정확도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Ind w:w="800" w:type="dxa"/>
              <w:tblLook w:val="0004A0" w:firstRow="1" w:lastRow="0" w:firstColumn="1" w:lastColumn="0" w:noHBand="0" w:noVBand="1"/>
              <w:tblLayout w:type="auto"/>
            </w:tblPr>
            <w:tblGrid>
              <w:gridCol w:w="4548"/>
              <w:gridCol w:w="4570"/>
            </w:tblGrid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Model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Test Accuracy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충청북도 동/읍/면 예측 기본 모델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0.2135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0.2366 ± 0.0088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10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0.2419 ± 0.0126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K-fold 15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b w:val="1"/>
                      <w:shd w:val="clear"/>
                    </w:rPr>
                  </w:pPr>
                  <w:r>
                    <w:rPr>
                      <w:b w:val="1"/>
                      <w:shd w:val="clear"/>
                      <w:rFonts w:hint="eastAsia"/>
                    </w:rPr>
                    <w:t xml:space="preserve">0.2438 ± 0.0134</w:t>
                  </w:r>
                </w:p>
              </w:tc>
            </w:tr>
            <w:tr>
              <w:trPr/>
              <w:tc>
                <w:tcPr>
                  <w:tcW w:type="dxa" w:w="4548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K-fold 20</w:t>
                  </w:r>
                </w:p>
              </w:tc>
              <w:tc>
                <w:tcPr>
                  <w:tcW w:type="dxa" w:w="4570"/>
                  <w:vAlign w:val="top"/>
                </w:tcPr>
                <w:p>
                  <w:pPr>
                    <w:pStyle w:val="PO26"/>
                    <w:ind w:left="0" w:firstLine="0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0.2423 ± 0.0142</w:t>
                  </w:r>
                </w:p>
              </w:tc>
            </w:tr>
          </w:tbl>
          <w:p>
            <w:pPr>
              <w:jc w:val="left"/>
              <w:spacing w:lineRule="auto" w:line="240" w:before="0" w:after="0"/>
              <w:ind w:left="800" w:right="0" w:firstLine="0"/>
              <w:rPr>
                <w:shd w:val="clear"/>
              </w:rPr>
            </w:pPr>
          </w:p>
          <w:p>
            <w:pPr>
              <w:ind w:left="440" w:firstLine="0" w:leftChars="200"/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충청북도 지역 </w:t>
            </w: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>107</w:t>
            </w:r>
            <w:r>
              <w:rPr>
                <w:shd w:val="clear"/>
                <w:rFonts w:hint="eastAsia"/>
              </w:rPr>
              <w:t xml:space="preserve">개의 동/읍/면 예측 모델의 정확도는 대략 24%로 볼 수 있다. </w:t>
            </w:r>
            <w:bookmarkEnd w:id="1"/>
          </w:p>
          <w:p>
            <w:pPr>
              <w:pStyle w:val="PO166"/>
              <w:rPr>
                <w:rStyle w:val="PO20"/>
                <w:shd w:val="clear"/>
              </w:rPr>
            </w:pPr>
            <w:r>
              <w:rPr>
                <w:rStyle w:val="PO20"/>
                <w:shd w:val="clear"/>
                <w:rFonts w:hint="eastAsia"/>
              </w:rPr>
              <w:t xml:space="preserve">전국 부지 추천 모델 정확도 및 인사이트</w:t>
            </w:r>
          </w:p>
          <w:p>
            <w:pPr>
              <w:jc w:val="both"/>
              <w:spacing w:lineRule="auto" w:line="335" w:after="0"/>
              <w:rPr>
                <w:color w:val="000000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color w:val="000000"/>
                <w:shd w:val="clear"/>
                <w:rFonts w:cs="굴림" w:asciiTheme="majorHAnsi" w:eastAsiaTheme="majorHAnsi" w:hAnsiTheme="majorHAnsi" w:hint="eastAsia"/>
              </w:rPr>
              <w:t xml:space="preserve">전국 부지 추천 모델의 정확도 및 대표업종은 다음과 같다. 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jc w:val="center"/>
              <w:tblInd w:w="800" w:type="dxa"/>
              <w:tblLook w:val="0004A0" w:firstRow="1" w:lastRow="0" w:firstColumn="1" w:lastColumn="0" w:noHBand="0" w:noVBand="1"/>
              <w:tblLayout w:type="auto"/>
            </w:tblPr>
            <w:tblGrid>
              <w:gridCol w:w="1696"/>
              <w:gridCol w:w="1985"/>
              <w:gridCol w:w="893"/>
              <w:gridCol w:w="4442"/>
            </w:tblGrid>
            <w:tr>
              <w:trPr/>
              <w:tc>
                <w:tcPr>
                  <w:tcW w:type="dxa" w:w="1696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 xml:space="preserve">순위 </w:t>
                  </w: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(정확도 기</w:t>
                  </w: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>준)</w:t>
                  </w:r>
                </w:p>
              </w:tc>
              <w:tc>
                <w:tcPr>
                  <w:tcW w:type="dxa" w:w="1985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지자체</w:t>
                  </w:r>
                </w:p>
              </w:tc>
              <w:tc>
                <w:tcPr>
                  <w:tcW w:type="dxa" w:w="893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정확도</w:t>
                  </w:r>
                </w:p>
              </w:tc>
              <w:tc>
                <w:tcPr>
                  <w:tcW w:type="dxa" w:w="4442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대표업종</w:t>
                  </w:r>
                </w:p>
              </w:tc>
            </w:tr>
            <w:tr>
              <w:trPr/>
              <w:tc>
                <w:tcPr>
                  <w:tcW w:type="dxa" w:w="1696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1</w:t>
                  </w:r>
                </w:p>
              </w:tc>
              <w:tc>
                <w:tcPr>
                  <w:tcW w:type="dxa" w:w="1985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서울특별시</w:t>
                  </w:r>
                </w:p>
              </w:tc>
              <w:tc>
                <w:tcPr>
                  <w:tcW w:type="dxa" w:w="893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0.70</w:t>
                  </w:r>
                </w:p>
              </w:tc>
              <w:tc>
                <w:tcPr>
                  <w:tcW w:type="dxa" w:w="4442"/>
                  <w:vAlign w:val="center"/>
                </w:tcPr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기타 인쇄업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배전반 및 전기 자동제어반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근무복, 작업복 및 유사 의복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방송장비 제조업</w:t>
                  </w:r>
                </w:p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유선 통신장비 제조업</w:t>
                  </w:r>
                </w:p>
              </w:tc>
            </w:tr>
            <w:tr>
              <w:trPr/>
              <w:tc>
                <w:tcPr>
                  <w:tcW w:type="dxa" w:w="1696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2</w:t>
                  </w:r>
                </w:p>
              </w:tc>
              <w:tc>
                <w:tcPr>
                  <w:tcW w:type="dxa" w:w="1985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인천광역시</w:t>
                  </w:r>
                </w:p>
              </w:tc>
              <w:tc>
                <w:tcPr>
                  <w:tcW w:type="dxa" w:w="893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0.585</w:t>
                  </w:r>
                </w:p>
              </w:tc>
              <w:tc>
                <w:tcPr>
                  <w:tcW w:type="dxa" w:w="4442"/>
                  <w:vAlign w:val="center"/>
                </w:tcPr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절삭 가공 및 유사 처리업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주형 및 금형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도금업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그 외 기타 전자 부품 제조업</w:t>
                  </w:r>
                </w:p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배전반 및 전기 자동제어반 제조업</w:t>
                  </w:r>
                </w:p>
              </w:tc>
            </w:tr>
            <w:tr>
              <w:trPr/>
              <w:tc>
                <w:tcPr>
                  <w:tcW w:type="dxa" w:w="1696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3</w:t>
                  </w:r>
                </w:p>
              </w:tc>
              <w:tc>
                <w:tcPr>
                  <w:tcW w:type="dxa" w:w="1985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대전광역시</w:t>
                  </w:r>
                </w:p>
              </w:tc>
              <w:tc>
                <w:tcPr>
                  <w:tcW w:type="dxa" w:w="893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0.509</w:t>
                  </w:r>
                </w:p>
              </w:tc>
              <w:tc>
                <w:tcPr>
                  <w:tcW w:type="dxa" w:w="4442"/>
                  <w:vAlign w:val="center"/>
                </w:tcPr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배전반 및 전기 자동제어반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그 외 기타 특수 목적용 기계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그 외 기타 일반 목적용 기계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그 외 기타 전자 부품 제조업</w:t>
                  </w:r>
                </w:p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물질 검사, 측정 및 분석 기구 제조업</w:t>
                  </w:r>
                </w:p>
              </w:tc>
            </w:tr>
            <w:tr>
              <w:trPr/>
              <w:tc>
                <w:tcPr>
                  <w:tcW w:type="dxa" w:w="1696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4</w:t>
                  </w:r>
                </w:p>
              </w:tc>
              <w:tc>
                <w:tcPr>
                  <w:tcW w:type="dxa" w:w="1985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강원도</w:t>
                  </w:r>
                </w:p>
              </w:tc>
              <w:tc>
                <w:tcPr>
                  <w:tcW w:type="dxa" w:w="893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0.5</w:t>
                  </w:r>
                </w:p>
              </w:tc>
              <w:tc>
                <w:tcPr>
                  <w:tcW w:type="dxa" w:w="4442"/>
                  <w:vAlign w:val="center"/>
                </w:tcPr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레미콘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기타 의료용 기기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수산동물 건조 및 염장품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구조용 금속 판제품 및 공작물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방송장비 제조업</w:t>
                  </w:r>
                </w:p>
              </w:tc>
            </w:tr>
            <w:tr>
              <w:trPr/>
              <w:tc>
                <w:tcPr>
                  <w:tcW w:type="dxa" w:w="1696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5</w:t>
                  </w:r>
                </w:p>
              </w:tc>
              <w:tc>
                <w:tcPr>
                  <w:tcW w:type="dxa" w:w="1985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부산광역시</w:t>
                  </w:r>
                </w:p>
              </w:tc>
              <w:tc>
                <w:tcPr>
                  <w:tcW w:type="dxa" w:w="893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0.475</w:t>
                  </w:r>
                </w:p>
              </w:tc>
              <w:tc>
                <w:tcPr>
                  <w:tcW w:type="dxa" w:w="4442"/>
                  <w:vAlign w:val="center"/>
                </w:tcPr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선박 구성 부분품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절삭 가공 및 유사 처리업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배전반 및 전기 자동제어반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주형 및 금형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물질 검사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-그 외 자동차용 신품 부품 제조업 </w:t>
                  </w:r>
                </w:p>
              </w:tc>
            </w:tr>
            <w:tr>
              <w:trPr/>
              <w:tc>
                <w:tcPr>
                  <w:tcW w:type="dxa" w:w="1696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6</w:t>
                  </w:r>
                </w:p>
              </w:tc>
              <w:tc>
                <w:tcPr>
                  <w:tcW w:type="dxa" w:w="1985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울산광역시</w:t>
                  </w:r>
                </w:p>
              </w:tc>
              <w:tc>
                <w:tcPr>
                  <w:tcW w:type="dxa" w:w="893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0.461</w:t>
                  </w:r>
                </w:p>
              </w:tc>
              <w:tc>
                <w:tcPr>
                  <w:tcW w:type="dxa" w:w="4442"/>
                  <w:vAlign w:val="center"/>
                </w:tcPr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그 외 자동차용 신품 부품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배전반 및 전기 자동제어반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선박 구성 부분품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육상 금속 골조 구조재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자동차 차체용 신품 부품 제조업</w:t>
                  </w:r>
                </w:p>
              </w:tc>
            </w:tr>
            <w:tr>
              <w:trPr/>
              <w:tc>
                <w:tcPr>
                  <w:tcW w:type="dxa" w:w="1696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7</w:t>
                  </w:r>
                </w:p>
              </w:tc>
              <w:tc>
                <w:tcPr>
                  <w:tcW w:type="dxa" w:w="1985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대구광역시</w:t>
                  </w:r>
                </w:p>
              </w:tc>
              <w:tc>
                <w:tcPr>
                  <w:tcW w:type="dxa" w:w="893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0.461</w:t>
                  </w:r>
                </w:p>
              </w:tc>
              <w:tc>
                <w:tcPr>
                  <w:tcW w:type="dxa" w:w="4442"/>
                  <w:vAlign w:val="center"/>
                </w:tcPr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그 외 자동차용 신품 부품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주형 및 금형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절삭</w:t>
                  </w:r>
                  <w:r>
                    <w:rPr>
                      <w:sz w:val="16"/>
                      <w:szCs w:val="16"/>
                      <w:shd w:val="clear"/>
                    </w:rPr>
                    <w:t xml:space="preserve"> 가공 및 유사 처리업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화학섬유직물 직조업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배전반 및 전기 자동제어반 제조업</w:t>
                  </w:r>
                </w:p>
              </w:tc>
            </w:tr>
            <w:tr>
              <w:trPr/>
              <w:tc>
                <w:tcPr>
                  <w:tcW w:type="dxa" w:w="1696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8</w:t>
                  </w:r>
                </w:p>
              </w:tc>
              <w:tc>
                <w:tcPr>
                  <w:tcW w:type="dxa" w:w="1985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광주광역시</w:t>
                  </w:r>
                </w:p>
              </w:tc>
              <w:tc>
                <w:tcPr>
                  <w:tcW w:type="dxa" w:w="893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0.40</w:t>
                  </w:r>
                </w:p>
              </w:tc>
              <w:tc>
                <w:tcPr>
                  <w:tcW w:type="dxa" w:w="4442"/>
                  <w:vAlign w:val="center"/>
                </w:tcPr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주형 및 금형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배전반 및 전기자동제어반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육상 금속 골조 구조재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그 외 자동차용 신품 부품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금속 문, 창, 셔터 및 관련제품 제조업</w:t>
                  </w:r>
                </w:p>
              </w:tc>
            </w:tr>
            <w:tr>
              <w:trPr/>
              <w:tc>
                <w:tcPr>
                  <w:tcW w:type="dxa" w:w="1696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9</w:t>
                  </w:r>
                </w:p>
              </w:tc>
              <w:tc>
                <w:tcPr>
                  <w:tcW w:type="dxa" w:w="1985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경상남도</w:t>
                  </w:r>
                </w:p>
              </w:tc>
              <w:tc>
                <w:tcPr>
                  <w:tcW w:type="dxa" w:w="893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0.353</w:t>
                  </w:r>
                </w:p>
              </w:tc>
              <w:tc>
                <w:tcPr>
                  <w:tcW w:type="dxa" w:w="4442"/>
                  <w:vAlign w:val="center"/>
                </w:tcPr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절삭 가공 및 유사 처리업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그 외 자동차용 신품 부품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선박 구성 부분품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주형 및 금형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육상 금속 골조 구조재 제조업</w:t>
                  </w:r>
                </w:p>
              </w:tc>
            </w:tr>
            <w:tr>
              <w:trPr/>
              <w:tc>
                <w:tcPr>
                  <w:tcW w:type="dxa" w:w="1696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10</w:t>
                  </w:r>
                </w:p>
              </w:tc>
              <w:tc>
                <w:tcPr>
                  <w:tcW w:type="dxa" w:w="1985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제주특별자치도</w:t>
                  </w:r>
                </w:p>
              </w:tc>
              <w:tc>
                <w:tcPr>
                  <w:tcW w:type="dxa" w:w="893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0.343</w:t>
                  </w:r>
                </w:p>
              </w:tc>
              <w:tc>
                <w:tcPr>
                  <w:tcW w:type="dxa" w:w="4442"/>
                  <w:vAlign w:val="center"/>
                </w:tcPr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배전반 및 전기 자동제어반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기타 과실</w:t>
                  </w:r>
                  <w:r>
                    <w:rPr>
                      <w:sz w:val="16"/>
                      <w:szCs w:val="16"/>
                      <w:shd w:val="clear"/>
                    </w:rPr>
                    <w:t>ㆍ</w:t>
                  </w: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채소 가공 및 저장ㅊ ㅓ리업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레미콘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육류 기타 가공 및 저장 처리업 (가금류 제외)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기타 수산동물 가공 및 저장 처리업</w:t>
                  </w:r>
                </w:p>
              </w:tc>
            </w:tr>
            <w:tr>
              <w:trPr/>
              <w:tc>
                <w:tcPr>
                  <w:tcW w:type="dxa" w:w="1696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11</w:t>
                  </w:r>
                </w:p>
              </w:tc>
              <w:tc>
                <w:tcPr>
                  <w:tcW w:type="dxa" w:w="1985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경기도</w:t>
                  </w:r>
                </w:p>
              </w:tc>
              <w:tc>
                <w:tcPr>
                  <w:tcW w:type="dxa" w:w="893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0.336</w:t>
                  </w:r>
                </w:p>
              </w:tc>
              <w:tc>
                <w:tcPr>
                  <w:tcW w:type="dxa" w:w="4442"/>
                  <w:vAlign w:val="center"/>
                </w:tcPr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-주형 및 금형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그 외 기타 전자 부품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배전반 및 전기 자동제어반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기타 목재 가구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절삭 가공 및 유사 처리업 </w:t>
                  </w:r>
                </w:p>
              </w:tc>
            </w:tr>
            <w:tr>
              <w:trPr/>
              <w:tc>
                <w:tcPr>
                  <w:tcW w:type="dxa" w:w="1696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12</w:t>
                  </w:r>
                </w:p>
              </w:tc>
              <w:tc>
                <w:tcPr>
                  <w:tcW w:type="dxa" w:w="1985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전라북도</w:t>
                  </w:r>
                </w:p>
              </w:tc>
              <w:tc>
                <w:tcPr>
                  <w:tcW w:type="dxa" w:w="893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0.335</w:t>
                  </w:r>
                </w:p>
              </w:tc>
              <w:tc>
                <w:tcPr>
                  <w:tcW w:type="dxa" w:w="4442"/>
                  <w:vAlign w:val="center"/>
                </w:tcPr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그 외 자동차용 신품 부품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육상 금속 골조 구조개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건설용 석제품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곡물 도정업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구조용 금속 판제품 및 공작물 제조업</w:t>
                  </w:r>
                </w:p>
              </w:tc>
            </w:tr>
            <w:tr>
              <w:trPr/>
              <w:tc>
                <w:tcPr>
                  <w:tcW w:type="dxa" w:w="1696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13</w:t>
                  </w:r>
                </w:p>
              </w:tc>
              <w:tc>
                <w:tcPr>
                  <w:tcW w:type="dxa" w:w="1985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경상북도</w:t>
                  </w:r>
                </w:p>
              </w:tc>
              <w:tc>
                <w:tcPr>
                  <w:tcW w:type="dxa" w:w="893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0.318</w:t>
                  </w:r>
                </w:p>
              </w:tc>
              <w:tc>
                <w:tcPr>
                  <w:tcW w:type="dxa" w:w="4442"/>
                  <w:vAlign w:val="center"/>
                </w:tcPr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그 외 자동차용 신품 부품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육상 금속 골조 구조재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연사 및 가공사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절삭 가공 및 유사 처리업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-주형 및 금형 제조업</w:t>
                  </w:r>
                </w:p>
              </w:tc>
            </w:tr>
            <w:tr>
              <w:trPr/>
              <w:tc>
                <w:tcPr>
                  <w:tcW w:type="dxa" w:w="1696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14</w:t>
                  </w:r>
                </w:p>
              </w:tc>
              <w:tc>
                <w:tcPr>
                  <w:tcW w:type="dxa" w:w="1985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전라남도</w:t>
                  </w:r>
                </w:p>
              </w:tc>
              <w:tc>
                <w:tcPr>
                  <w:tcW w:type="dxa" w:w="893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0.284</w:t>
                  </w:r>
                </w:p>
              </w:tc>
              <w:tc>
                <w:tcPr>
                  <w:tcW w:type="dxa" w:w="4442"/>
                  <w:vAlign w:val="center"/>
                </w:tcPr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수산식물 가공 및 저장 처리업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육상금속 골조 구조재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선박 구성 부분품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배전반 및 전기 자동제어반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곡물 도정업</w:t>
                  </w:r>
                </w:p>
              </w:tc>
            </w:tr>
            <w:tr>
              <w:trPr/>
              <w:tc>
                <w:tcPr>
                  <w:tcW w:type="dxa" w:w="1696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15</w:t>
                  </w:r>
                </w:p>
              </w:tc>
              <w:tc>
                <w:tcPr>
                  <w:tcW w:type="dxa" w:w="1985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충청남도</w:t>
                  </w:r>
                </w:p>
              </w:tc>
              <w:tc>
                <w:tcPr>
                  <w:tcW w:type="dxa" w:w="893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0.264</w:t>
                  </w:r>
                </w:p>
              </w:tc>
              <w:tc>
                <w:tcPr>
                  <w:tcW w:type="dxa" w:w="4442"/>
                  <w:vAlign w:val="center"/>
                </w:tcPr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그 외 자동차용 신품 부품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육상 금속 골조 구조재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반도체 제조용 기계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배전반 및 전기 자동제어반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구조용 금속 판제품 및 공작물 제조업</w:t>
                  </w:r>
                </w:p>
              </w:tc>
            </w:tr>
            <w:tr>
              <w:trPr/>
              <w:tc>
                <w:tcPr>
                  <w:tcW w:type="dxa" w:w="1696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16</w:t>
                  </w:r>
                </w:p>
              </w:tc>
              <w:tc>
                <w:tcPr>
                  <w:tcW w:type="dxa" w:w="1985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충청북도</w:t>
                  </w:r>
                </w:p>
              </w:tc>
              <w:tc>
                <w:tcPr>
                  <w:tcW w:type="dxa" w:w="893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0.243</w:t>
                  </w:r>
                </w:p>
              </w:tc>
              <w:tc>
                <w:tcPr>
                  <w:tcW w:type="dxa" w:w="4442"/>
                  <w:vAlign w:val="center"/>
                </w:tcPr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육상 금속 골조 구조재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구조용 금속 판제품 및 공작물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금속 문, 창 셔터 및 관련제품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배전반 및 전기 자동제어반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</w:t>
                  </w:r>
                  <w:r>
                    <w:rPr>
                      <w:sz w:val="16"/>
                      <w:szCs w:val="16"/>
                      <w:shd w:val="clear"/>
                    </w:rPr>
                    <w:t xml:space="preserve">과실ㆍ채소 가공 및 저장 처리업</w:t>
                  </w:r>
                </w:p>
              </w:tc>
            </w:tr>
            <w:tr>
              <w:trPr/>
              <w:tc>
                <w:tcPr>
                  <w:tcW w:type="dxa" w:w="1696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17</w:t>
                  </w:r>
                </w:p>
              </w:tc>
              <w:tc>
                <w:tcPr>
                  <w:tcW w:type="dxa" w:w="1985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세종특별자치시</w:t>
                  </w:r>
                </w:p>
              </w:tc>
              <w:tc>
                <w:tcPr>
                  <w:tcW w:type="dxa" w:w="893"/>
                  <w:vAlign w:val="center"/>
                </w:tcPr>
                <w:p>
                  <w:pPr>
                    <w:jc w:val="center"/>
                    <w:rPr>
                      <w:shd w:val="clear"/>
                    </w:rPr>
                  </w:pPr>
                  <w:r>
                    <w:rPr>
                      <w:shd w:val="clear"/>
                      <w:rFonts w:hint="eastAsia"/>
                    </w:rPr>
                    <w:t>0.212</w:t>
                  </w:r>
                </w:p>
              </w:tc>
              <w:tc>
                <w:tcPr>
                  <w:tcW w:type="dxa" w:w="4442"/>
                  <w:vAlign w:val="center"/>
                </w:tcPr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경 인쇄업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구조용 금속 판제품 및 공작물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그 외 자동차용 신품 부품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육상 금속 골조 구조재 제조업</w:t>
                  </w:r>
                </w:p>
                <w:p>
                  <w:pPr>
                    <w:jc w:val="center"/>
                    <w:rPr>
                      <w:sz w:val="16"/>
                      <w:szCs w:val="16"/>
                      <w:shd w:val="clear"/>
                    </w:rPr>
                  </w:pPr>
                  <w:r>
                    <w:rPr>
                      <w:sz w:val="16"/>
                      <w:szCs w:val="16"/>
                      <w:shd w:val="clear"/>
                      <w:rFonts w:hint="eastAsia"/>
                    </w:rPr>
                    <w:t xml:space="preserve">- 플라스틱 선, 봉, 관 및 호스 제조업</w:t>
                  </w:r>
                </w:p>
              </w:tc>
            </w:tr>
          </w:tbl>
          <w:p>
            <w:pPr>
              <w:jc w:val="left"/>
              <w:spacing w:lineRule="auto" w:line="240" w:before="0" w:after="0"/>
              <w:ind w:left="800" w:right="0" w:firstLine="0"/>
              <w:rPr>
                <w:shd w:val="clear"/>
              </w:rPr>
            </w:pPr>
          </w:p>
          <w:p>
            <w:pPr>
              <w:pStyle w:val="PO9"/>
              <w:rPr>
                <w:shd w:val="clear"/>
              </w:rPr>
            </w:pPr>
            <w:r>
              <w:rPr>
                <w:shd w:val="clear"/>
              </w:rPr>
              <w:t xml:space="preserve">모델 성능 분석</w:t>
            </w:r>
          </w:p>
          <w:p>
            <w:pPr>
              <w:spacing w:before="100" w:beforeAutospacing="1"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모델의 예측 정확도는 다음과 같습니다:</w:t>
            </w:r>
          </w:p>
          <w:p>
            <w:pPr>
              <w:numPr>
                <w:numId w:val="61"/>
                <w:ilvl w:val="0"/>
              </w:numPr>
              <w:spacing w:before="100" w:beforeAutospacing="1"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최고 정확도: 서울특별시 (0.70)</w:t>
            </w:r>
          </w:p>
          <w:p>
            <w:pPr>
              <w:numPr>
                <w:numId w:val="61"/>
                <w:ilvl w:val="0"/>
              </w:numPr>
              <w:spacing w:before="100" w:beforeAutospacing="1"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최저 정확도: 세종특별자치시 (0.212)</w:t>
            </w:r>
          </w:p>
          <w:p>
            <w:pPr>
              <w:spacing w:before="100" w:beforeAutospacing="1"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모델의 정확도는 지역별로 상이하며, 주요 도시들의 정확도는 다음과 같습니다:</w:t>
            </w:r>
          </w:p>
          <w:p>
            <w:pPr>
              <w:numPr>
                <w:numId w:val="62"/>
                <w:ilvl w:val="0"/>
              </w:numPr>
              <w:spacing w:before="100" w:beforeAutospacing="1"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서울특별시: 0.70</w:t>
            </w:r>
          </w:p>
          <w:p>
            <w:pPr>
              <w:numPr>
                <w:numId w:val="62"/>
                <w:ilvl w:val="0"/>
              </w:numPr>
              <w:spacing w:before="100" w:beforeAutospacing="1"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인천광역시: 0.585</w:t>
            </w:r>
          </w:p>
          <w:p>
            <w:pPr>
              <w:numPr>
                <w:numId w:val="62"/>
                <w:ilvl w:val="0"/>
              </w:numPr>
              <w:spacing w:before="100" w:beforeAutospacing="1"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대전광역시: 0.509</w:t>
            </w:r>
          </w:p>
          <w:p>
            <w:pPr>
              <w:numPr>
                <w:numId w:val="62"/>
                <w:ilvl w:val="0"/>
              </w:numPr>
              <w:spacing w:before="100" w:beforeAutospacing="1"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강원도: 0.5</w:t>
            </w:r>
          </w:p>
          <w:p>
            <w:pPr>
              <w:numPr>
                <w:numId w:val="62"/>
                <w:ilvl w:val="0"/>
              </w:numPr>
              <w:spacing w:before="100" w:beforeAutospacing="1"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부산광역시: 0.475</w:t>
            </w:r>
          </w:p>
          <w:p>
            <w:pPr>
              <w:pStyle w:val="PO26"/>
              <w:numPr>
                <w:numId w:val="65"/>
                <w:ilvl w:val="0"/>
              </w:numPr>
              <w:spacing w:before="100" w:beforeAutospacing="1"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z w:val="24"/>
                <w:szCs w:val="24"/>
                <w:shd w:val="clear"/>
                <w:rFonts w:ascii="굴림" w:eastAsia="굴림" w:hAnsi="굴림" w:cs="굴림"/>
              </w:rPr>
              <w:t xml:space="preserve">모델의 개선된 부분</w:t>
            </w:r>
            <w:r>
              <w:rPr>
                <w:sz w:val="24"/>
                <w:szCs w:val="24"/>
                <w:shd w:val="clear"/>
                <w:rFonts w:ascii="굴림" w:eastAsia="굴림" w:hAnsi="굴림" w:cs="굴림" w:hint="eastAsia"/>
              </w:rPr>
              <w:t xml:space="preserve">: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>기존</w:t>
            </w:r>
            <w:r>
              <w:rPr>
                <w:sz w:val="24"/>
                <w:szCs w:val="24"/>
                <w:shd w:val="clear"/>
                <w:rFonts w:ascii="굴림" w:eastAsia="굴림" w:hAnsi="굴림" w:cs="굴림" w:hint="eastAsia"/>
              </w:rPr>
              <w:t xml:space="preserve">의 주관적인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 방식에 비해 본 모델은 여러 측면에서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개선된 결과를 보여주고 있습니다:</w:t>
            </w:r>
          </w:p>
          <w:p>
            <w:pPr>
              <w:numPr>
                <w:numId w:val="63"/>
                <w:ilvl w:val="0"/>
              </w:numPr>
              <w:spacing w:before="100" w:beforeAutospacing="1"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z w:val="24"/>
                <w:szCs w:val="24"/>
                <w:shd w:val="clear"/>
                <w:rFonts w:ascii="굴림" w:eastAsia="굴림" w:hAnsi="굴림" w:cs="굴림"/>
              </w:rPr>
              <w:t xml:space="preserve">데이터 기반의 의사 결정: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 기존 주관적 판단에 의존하던 방식에서 벗어나,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데이터를 기반으로 객관적인 부지 추천이 가능합니다. 이는 더 신뢰할 수 있는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결정을 지원합니다.</w:t>
            </w:r>
          </w:p>
          <w:p>
            <w:pPr>
              <w:numPr>
                <w:numId w:val="63"/>
                <w:ilvl w:val="0"/>
              </w:numPr>
              <w:spacing w:before="100" w:beforeAutospacing="1"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z w:val="24"/>
                <w:szCs w:val="24"/>
                <w:shd w:val="clear"/>
                <w:rFonts w:ascii="굴림" w:eastAsia="굴림" w:hAnsi="굴림" w:cs="굴림"/>
              </w:rPr>
              <w:t xml:space="preserve">효율성 증가: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 모델을 활용하여 공장 부지를 추천함으로써, 부지 선정 과정에서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소요되는 시간과 노력을 크게 절감할 수 있습니다.</w:t>
            </w:r>
          </w:p>
          <w:p>
            <w:pPr>
              <w:pStyle w:val="PO26"/>
              <w:numPr>
                <w:numId w:val="65"/>
                <w:ilvl w:val="0"/>
              </w:numPr>
              <w:spacing w:before="100" w:beforeAutospacing="1" w:after="100" w:afterAutospacing="1"/>
              <w:rPr>
                <w:b w:val="1"/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z w:val="24"/>
                <w:szCs w:val="24"/>
                <w:shd w:val="clear"/>
                <w:rFonts w:ascii="굴림" w:eastAsia="굴림" w:hAnsi="굴림" w:cs="굴림"/>
              </w:rPr>
              <w:t xml:space="preserve">실질적인 이점과 가치</w:t>
            </w:r>
            <w:r>
              <w:rPr>
                <w:b w:val="1"/>
                <w:sz w:val="24"/>
                <w:szCs w:val="24"/>
                <w:shd w:val="clear"/>
                <w:rFonts w:ascii="굴림" w:eastAsia="굴림" w:hAnsi="굴림" w:cs="굴림" w:hint="eastAsia"/>
              </w:rPr>
              <w:t xml:space="preserve">: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모델의 예측이 완벽하지 않더라도, 이를 통해 얻을 수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있는 여러 실질적인 이점과 </w:t>
            </w:r>
            <w:r>
              <w:rPr>
                <w:sz w:val="24"/>
                <w:szCs w:val="24"/>
                <w:shd w:val="clear"/>
                <w:rFonts w:ascii="굴림" w:eastAsia="굴림" w:hAnsi="굴림" w:cs="굴림" w:hint="eastAsia"/>
              </w:rPr>
              <w:t xml:space="preserve">가치를 보여주고 있습니다.</w:t>
            </w:r>
          </w:p>
          <w:p>
            <w:pPr>
              <w:numPr>
                <w:numId w:val="64"/>
                <w:ilvl w:val="0"/>
              </w:numPr>
              <w:spacing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z w:val="24"/>
                <w:szCs w:val="24"/>
                <w:shd w:val="clear"/>
                <w:rFonts w:ascii="굴림" w:eastAsia="굴림" w:hAnsi="굴림" w:cs="굴림"/>
              </w:rPr>
              <w:t xml:space="preserve">대표업종 파악: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 각 지역에서 존재하는 많은 대표업종 공장을 파악할 수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있었습니다. 이는 각 지역의 산업적 특성을 이해하는 데 큰 도움을 줍니다.</w:t>
            </w:r>
          </w:p>
          <w:p>
            <w:pPr>
              <w:numPr>
                <w:numId w:val="64"/>
                <w:ilvl w:val="0"/>
              </w:numPr>
              <w:spacing w:before="240"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z w:val="24"/>
                <w:szCs w:val="24"/>
                <w:shd w:val="clear"/>
                <w:rFonts w:ascii="굴림" w:eastAsia="굴림" w:hAnsi="굴림" w:cs="굴림"/>
              </w:rPr>
              <w:t xml:space="preserve">데이터의 양과 정확도: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 서울특별시는 약 10,000개의 데이터로 25개의 구를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예측하여 가장 높은 정확도를 보인 반면, 세종특별자치시는 800개의 데이터로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70개의 '리' 위치를 예측하여 정확도가 낮았습니다. 이는 데이터의 양과 예측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단위의 차이가 모델 정확도에 영향을 미친다는 것을 시사합니다.</w:t>
            </w:r>
          </w:p>
          <w:p>
            <w:pPr>
              <w:numPr>
                <w:numId w:val="64"/>
                <w:ilvl w:val="0"/>
              </w:numPr>
              <w:spacing w:before="240"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z w:val="24"/>
                <w:szCs w:val="24"/>
                <w:shd w:val="clear"/>
                <w:rFonts w:ascii="굴림" w:eastAsia="굴림" w:hAnsi="굴림" w:cs="굴림"/>
              </w:rPr>
              <w:t xml:space="preserve">객관적인 부지 추천: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 기존의 주관적 판단으로 공장 부지를 선정하는 것보다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데이터를 통해서 객관적인 부지 추천이 가능합니다. 특히 대표업종, 면적,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종업원의 수를 우선적으로 고려하여 부지를 추천함으로써 더 합리적인 결정을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내릴 수 있습니다.</w:t>
            </w:r>
          </w:p>
          <w:p>
            <w:pPr>
              <w:numPr>
                <w:numId w:val="64"/>
                <w:ilvl w:val="0"/>
              </w:numPr>
              <w:spacing w:before="240"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z w:val="24"/>
                <w:szCs w:val="24"/>
                <w:shd w:val="clear"/>
                <w:rFonts w:ascii="굴림" w:eastAsia="굴림" w:hAnsi="굴림" w:cs="굴림"/>
              </w:rPr>
              <w:t xml:space="preserve">지속적인 개선 가능성: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 모델은 지속적으로 데이터를 학습하고 개선될 수 있습니다.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시간이 지남에 따라 더 높은 정확도의 예측을 제공할 수 있으며, 이는 장기적으로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큰 이점을 가져다줄 것입니다.</w:t>
            </w:r>
          </w:p>
          <w:p>
            <w:pPr>
              <w:numPr>
                <w:numId w:val="64"/>
                <w:ilvl w:val="0"/>
              </w:numPr>
              <w:spacing w:before="240"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z w:val="24"/>
                <w:szCs w:val="24"/>
                <w:shd w:val="clear"/>
                <w:rFonts w:ascii="굴림" w:eastAsia="굴림" w:hAnsi="굴림" w:cs="굴림"/>
              </w:rPr>
              <w:t xml:space="preserve">데이터의 잠재적 가치: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 수집된 데이터는 다양한 분석과 인사이트 도출에 활용될 수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있습니다. 이는 부지 선정뿐만 아니라 다른 경영 의사 결정에도 유용한 정보를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>제공합니다.</w:t>
            </w:r>
          </w:p>
          <w:p>
            <w:pPr>
              <w:pStyle w:val="PO26"/>
              <w:numPr>
                <w:numId w:val="65"/>
                <w:ilvl w:val="0"/>
              </w:numPr>
              <w:spacing w:before="100" w:beforeAutospacing="1" w:after="100" w:afterAutospacing="1"/>
              <w:rPr>
                <w:b w:val="1"/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z w:val="24"/>
                <w:szCs w:val="24"/>
                <w:shd w:val="clear"/>
                <w:rFonts w:ascii="굴림" w:eastAsia="굴림" w:hAnsi="굴림" w:cs="굴림"/>
              </w:rPr>
              <w:t xml:space="preserve">4공장 부지 추천의 유연성</w:t>
            </w:r>
            <w:r>
              <w:rPr>
                <w:b w:val="1"/>
                <w:sz w:val="24"/>
                <w:szCs w:val="24"/>
                <w:shd w:val="clear"/>
                <w:rFonts w:ascii="굴림" w:eastAsia="굴림" w:hAnsi="굴림" w:cs="굴림" w:hint="eastAsia"/>
              </w:rPr>
              <w:t>:</w:t>
            </w:r>
            <w:r>
              <w:rPr>
                <w:b w:val="1"/>
                <w:sz w:val="24"/>
                <w:szCs w:val="24"/>
                <w:shd w:val="clear"/>
                <w:rFonts w:ascii="굴림" w:eastAsia="굴림" w:hAnsi="굴림" w:cs="굴림"/>
              </w:rPr>
              <w:t xml:space="preserve">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공장 부지 추천의 경우 정답이 존재하지 않으므로,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다양한 사용자 의견(면적, 종업원 수, 지자체)을 통해 가장 적합한 지역을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추천합니다. 공장 부지 추천은 단순히 정확도로만 판단할 수 없으며, 다양한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요인을 고려해야 합니다. 이로 인해 데이터 기반의 추천 시스템은 다양한 조건을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반영하여 사용자 맞춤형 추천을 제공합니다.</w:t>
            </w:r>
          </w:p>
          <w:p>
            <w:pPr>
              <w:numPr>
                <w:numId w:val="0"/>
                <w:ilvl w:val="0"/>
              </w:numPr>
              <w:spacing w:before="100" w:beforeAutospacing="1" w:after="100" w:afterAutospacing="1"/>
              <w:rPr>
                <w:b w:val="1"/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</w:p>
          <w:p>
            <w:pPr>
              <w:pStyle w:val="PO7"/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3. 공장 부지 매물 데이터 수집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전국적으로 공장 부지 추천을 위해 다양한 공장 매물 데이터를 수집하였습니다. 주요 </w:t>
            </w:r>
            <w:r>
              <w:rPr>
                <w:shd w:val="clear"/>
              </w:rPr>
              <w:t xml:space="preserve">데이터 출처는 다음 두 곳으로, 각각의 특징과 수집된 데이터를 아래와 같이 </w:t>
            </w:r>
            <w:r>
              <w:rPr>
                <w:shd w:val="clear"/>
              </w:rPr>
              <w:t>정리하였습니다.</w:t>
            </w:r>
          </w:p>
          <w:p>
            <w:pPr>
              <w:pStyle w:val="PO9"/>
              <w:rPr>
                <w:shd w:val="clear"/>
              </w:rPr>
            </w:pPr>
            <w:r>
              <w:rPr>
                <w:shd w:val="clear"/>
              </w:rPr>
              <w:t xml:space="preserve">1. 공장 통 닷컴 </w:t>
            </w:r>
            <w:r>
              <w:rPr>
                <w:sz w:val="16"/>
                <w:szCs w:val="16"/>
                <w:shd w:val="clear"/>
              </w:rPr>
              <w:t>(http://www.okfactory.com/)</w:t>
            </w:r>
          </w:p>
          <w:p>
            <w:pPr>
              <w:numPr>
                <w:numId w:val="39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총 매물 수:</w:t>
            </w:r>
            <w:r>
              <w:rPr>
                <w:shd w:val="clear"/>
              </w:rPr>
              <w:t xml:space="preserve"> 5,212개</w:t>
            </w:r>
          </w:p>
          <w:p>
            <w:pPr>
              <w:numPr>
                <w:numId w:val="39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수집된 칼럼:</w:t>
            </w:r>
          </w:p>
          <w:p>
            <w:pPr>
              <w:numPr>
                <w:numId w:val="3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매물위치:</w:t>
            </w:r>
            <w:r>
              <w:rPr>
                <w:shd w:val="clear"/>
              </w:rPr>
              <w:t xml:space="preserve"> 매물이 위치한 주소</w:t>
            </w:r>
          </w:p>
          <w:p>
            <w:pPr>
              <w:numPr>
                <w:numId w:val="3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종류:</w:t>
            </w:r>
            <w:r>
              <w:rPr>
                <w:shd w:val="clear"/>
              </w:rPr>
              <w:t xml:space="preserve"> 매물의 유형 (예: 공장, 창고 등)</w:t>
            </w:r>
          </w:p>
          <w:p>
            <w:pPr>
              <w:numPr>
                <w:numId w:val="3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제목:</w:t>
            </w:r>
            <w:r>
              <w:rPr>
                <w:shd w:val="clear"/>
              </w:rPr>
              <w:t xml:space="preserve"> 매물의 제목</w:t>
            </w:r>
          </w:p>
          <w:p>
            <w:pPr>
              <w:numPr>
                <w:numId w:val="3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상태:</w:t>
            </w:r>
            <w:r>
              <w:rPr>
                <w:shd w:val="clear"/>
              </w:rPr>
              <w:t xml:space="preserve"> 매물의 현재 상태 (예: 매매 중, 임대 중 등)</w:t>
            </w:r>
          </w:p>
          <w:p>
            <w:pPr>
              <w:numPr>
                <w:numId w:val="3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가격:</w:t>
            </w:r>
            <w:r>
              <w:rPr>
                <w:shd w:val="clear"/>
              </w:rPr>
              <w:t xml:space="preserve"> 매물의 가격 정보</w:t>
            </w:r>
          </w:p>
          <w:p>
            <w:pPr>
              <w:numPr>
                <w:numId w:val="3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면적:</w:t>
            </w:r>
            <w:r>
              <w:rPr>
                <w:shd w:val="clear"/>
              </w:rPr>
              <w:t xml:space="preserve"> 매물의 면적</w:t>
            </w:r>
          </w:p>
          <w:p>
            <w:pPr>
              <w:numPr>
                <w:numId w:val="3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방식:</w:t>
            </w:r>
            <w:r>
              <w:rPr>
                <w:shd w:val="clear"/>
              </w:rPr>
              <w:t xml:space="preserve"> 거래 방식 (예: 매매, 월세)</w:t>
            </w:r>
          </w:p>
          <w:p>
            <w:pPr>
              <w:numPr>
                <w:numId w:val="3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참고사항:</w:t>
            </w:r>
            <w:r>
              <w:rPr>
                <w:shd w:val="clear"/>
              </w:rPr>
              <w:t xml:space="preserve"> 추가적인 정보나 설명</w:t>
            </w:r>
          </w:p>
          <w:p>
            <w:pPr>
              <w:numPr>
                <w:numId w:val="3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조회수:</w:t>
            </w:r>
            <w:r>
              <w:rPr>
                <w:shd w:val="clear"/>
              </w:rPr>
              <w:t xml:space="preserve"> 매물의 조회 수</w:t>
            </w:r>
          </w:p>
          <w:p>
            <w:pPr>
              <w:numPr>
                <w:numId w:val="3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매물위치(URL):</w:t>
            </w:r>
            <w:r>
              <w:rPr>
                <w:shd w:val="clear"/>
              </w:rPr>
              <w:t xml:space="preserve"> 매물 상세 페이지 URL</w:t>
            </w:r>
          </w:p>
          <w:p>
            <w:pPr>
              <w:pStyle w:val="PO9"/>
              <w:rPr>
                <w:shd w:val="clear"/>
              </w:rPr>
            </w:pPr>
            <w:r>
              <w:rPr>
                <w:shd w:val="clear"/>
              </w:rPr>
              <w:t xml:space="preserve">2. 부동산 119</w:t>
            </w:r>
            <w:r>
              <w:rPr>
                <w:shd w:val="clear"/>
                <w:rFonts w:hint="eastAsia"/>
              </w:rPr>
              <w:t xml:space="preserve"> </w:t>
            </w:r>
            <w:r>
              <w:rPr>
                <w:sz w:val="16"/>
                <w:szCs w:val="16"/>
                <w:shd w:val="clear"/>
                <w:rFonts w:hint="eastAsia"/>
              </w:rPr>
              <w:t>(</w:t>
            </w:r>
            <w:r>
              <w:rPr>
                <w:sz w:val="16"/>
                <w:szCs w:val="16"/>
                <w:shd w:val="clear"/>
              </w:rPr>
              <w:t>https://www.bd119.com/</w:t>
            </w:r>
            <w:r>
              <w:rPr>
                <w:sz w:val="16"/>
                <w:szCs w:val="16"/>
                <w:shd w:val="clear"/>
                <w:rFonts w:hint="eastAsia"/>
              </w:rPr>
              <w:t>)</w:t>
            </w:r>
          </w:p>
          <w:p>
            <w:pPr>
              <w:numPr>
                <w:numId w:val="40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총 매물 수:</w:t>
            </w:r>
            <w:r>
              <w:rPr>
                <w:shd w:val="clear"/>
              </w:rPr>
              <w:t xml:space="preserve"> 542개</w:t>
            </w:r>
          </w:p>
          <w:p>
            <w:pPr>
              <w:numPr>
                <w:numId w:val="40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수집된 칼럼:</w:t>
            </w:r>
          </w:p>
          <w:p>
            <w:pPr>
              <w:numPr>
                <w:numId w:val="4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종류:</w:t>
            </w:r>
            <w:r>
              <w:rPr>
                <w:shd w:val="clear"/>
              </w:rPr>
              <w:t xml:space="preserve"> 매물의 유형 (예: 공장, 창고 등)</w:t>
            </w:r>
          </w:p>
          <w:p>
            <w:pPr>
              <w:numPr>
                <w:numId w:val="4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매물위치:</w:t>
            </w:r>
            <w:r>
              <w:rPr>
                <w:shd w:val="clear"/>
              </w:rPr>
              <w:t xml:space="preserve"> 매물이 위치한 주소</w:t>
            </w:r>
          </w:p>
          <w:p>
            <w:pPr>
              <w:numPr>
                <w:numId w:val="4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면적:</w:t>
            </w:r>
            <w:r>
              <w:rPr>
                <w:shd w:val="clear"/>
              </w:rPr>
              <w:t xml:space="preserve"> 매물의 면적</w:t>
            </w:r>
          </w:p>
          <w:p>
            <w:pPr>
              <w:numPr>
                <w:numId w:val="4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가격:</w:t>
            </w:r>
            <w:r>
              <w:rPr>
                <w:shd w:val="clear"/>
              </w:rPr>
              <w:t xml:space="preserve"> 매물의 가격 정보</w:t>
            </w:r>
          </w:p>
          <w:p>
            <w:pPr>
              <w:numPr>
                <w:numId w:val="4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층수(방 수):</w:t>
            </w:r>
            <w:r>
              <w:rPr>
                <w:shd w:val="clear"/>
              </w:rPr>
              <w:t xml:space="preserve"> 매물이 위치한 층수 및 방 수</w:t>
            </w:r>
          </w:p>
          <w:p>
            <w:pPr>
              <w:numPr>
                <w:numId w:val="4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진입도로:</w:t>
            </w:r>
            <w:r>
              <w:rPr>
                <w:shd w:val="clear"/>
              </w:rPr>
              <w:t xml:space="preserve"> 매물로 진입할 수 있는 도로 정보</w:t>
            </w:r>
          </w:p>
          <w:p>
            <w:pPr>
              <w:numPr>
                <w:numId w:val="4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주차 여부:</w:t>
            </w:r>
            <w:r>
              <w:rPr>
                <w:shd w:val="clear"/>
              </w:rPr>
              <w:t xml:space="preserve"> 매물의 주차 가능 여부</w:t>
            </w:r>
          </w:p>
          <w:p>
            <w:pPr>
              <w:numPr>
                <w:numId w:val="4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조회수:</w:t>
            </w:r>
            <w:r>
              <w:rPr>
                <w:shd w:val="clear"/>
              </w:rPr>
              <w:t xml:space="preserve"> 매물의 조회 수</w:t>
            </w:r>
          </w:p>
          <w:p>
            <w:pPr>
              <w:numPr>
                <w:numId w:val="4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제목:</w:t>
            </w:r>
            <w:r>
              <w:rPr>
                <w:shd w:val="clear"/>
              </w:rPr>
              <w:t xml:space="preserve"> 매물의 제목</w:t>
            </w:r>
          </w:p>
          <w:p>
            <w:pPr>
              <w:numPr>
                <w:numId w:val="4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장점:</w:t>
            </w:r>
            <w:r>
              <w:rPr>
                <w:shd w:val="clear"/>
              </w:rPr>
              <w:t xml:space="preserve"> 매물의 장점이나 특징</w:t>
            </w:r>
          </w:p>
          <w:p>
            <w:pPr>
              <w:numPr>
                <w:numId w:val="4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매물위치(URL):</w:t>
            </w:r>
            <w:r>
              <w:rPr>
                <w:shd w:val="clear"/>
              </w:rPr>
              <w:t xml:space="preserve"> 매물 상세 페이지 URL</w:t>
            </w:r>
          </w:p>
          <w:p>
            <w:pPr>
              <w:pStyle w:val="PO9"/>
              <w:rPr>
                <w:shd w:val="clear"/>
              </w:rPr>
            </w:pPr>
            <w:r>
              <w:rPr>
                <w:shd w:val="clear"/>
              </w:rPr>
              <w:t xml:space="preserve">제외된 데이터 출처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데이터 수집 과정에서 몇몇 부동산 사이트는 다음과 같은 이유로 크롤링 대상에서 </w:t>
            </w:r>
            <w:r>
              <w:rPr>
                <w:shd w:val="clear"/>
              </w:rPr>
              <w:t>제외되었습니다:</w:t>
            </w:r>
          </w:p>
          <w:p>
            <w:pPr>
              <w:numPr>
                <w:numId w:val="41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부동산 114:</w:t>
            </w:r>
            <w:r>
              <w:rPr>
                <w:shd w:val="clear"/>
              </w:rPr>
              <w:t xml:space="preserve"> 공장 매물에 대한 정보가 부족하고, 공장 전문 매물 사이트가 아닌 일반 </w:t>
            </w:r>
            <w:r>
              <w:rPr>
                <w:shd w:val="clear"/>
              </w:rPr>
              <w:t xml:space="preserve">부동산 매물이 많아 제외하였습니다.</w:t>
            </w:r>
          </w:p>
          <w:p>
            <w:pPr>
              <w:numPr>
                <w:numId w:val="41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공장 다나와:</w:t>
            </w:r>
            <w:r>
              <w:rPr>
                <w:shd w:val="clear"/>
              </w:rPr>
              <w:t xml:space="preserve"> 특정 지역(예: 경기, 화성)에 편중된 매물들이 많아 전국적인 데이터를 </w:t>
            </w:r>
            <w:r>
              <w:rPr>
                <w:shd w:val="clear"/>
              </w:rPr>
              <w:t xml:space="preserve">수집하기 어려워 제외하였습니다.</w:t>
            </w:r>
          </w:p>
          <w:p>
            <w:pPr>
              <w:numPr>
                <w:numId w:val="41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부동산 뱅크:</w:t>
            </w:r>
            <w:r>
              <w:rPr>
                <w:shd w:val="clear"/>
              </w:rPr>
              <w:t xml:space="preserve"> 매물 설명이 불명확하여 제외하였습니다.</w:t>
            </w:r>
          </w:p>
          <w:p>
            <w:pPr>
              <w:pStyle w:val="PO9"/>
              <w:rPr>
                <w:shd w:val="clear"/>
              </w:rPr>
            </w:pPr>
            <w:r>
              <w:rPr>
                <w:shd w:val="clear"/>
              </w:rPr>
              <w:t xml:space="preserve">데이터 수집 방법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위의 두 사이트에서 데이터를 크롤링하여 수집하였습니다. 수집된 데이터는 공장 부지 </w:t>
            </w:r>
            <w:r>
              <w:rPr>
                <w:shd w:val="clear"/>
              </w:rPr>
              <w:t xml:space="preserve">추천 모델에 입력되어, 사용자에게 최적의 공장 부지를 추천하는 데 활용됩니다. 각 </w:t>
            </w:r>
            <w:r>
              <w:rPr>
                <w:shd w:val="clear"/>
              </w:rPr>
              <w:t xml:space="preserve">매물의 다양한 속성 정보는 모델이 공장 부지를 추천하는 데 있어 중요한 역할을 하며, </w:t>
            </w:r>
            <w:r>
              <w:rPr>
                <w:shd w:val="clear"/>
              </w:rPr>
              <w:t xml:space="preserve">특히 매물 위치, 면적, 가격 등의 정보는 매물 선택에 큰 기여를 할 것이라고 </w:t>
            </w:r>
            <w:r>
              <w:rPr>
                <w:shd w:val="clear"/>
              </w:rPr>
              <w:t>판단됩니다.</w:t>
            </w:r>
          </w:p>
          <w:p>
            <w:pPr>
              <w:pStyle w:val="PO9"/>
              <w:rPr>
                <w:shd w:val="clear"/>
              </w:rPr>
            </w:pPr>
            <w:r>
              <w:rPr>
                <w:shd w:val="clear"/>
              </w:rPr>
              <w:t xml:space="preserve">데이터 활용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수집된 공장 부지 매물 데이터는 다음과 같은 방식으로 활용됩니다:</w:t>
            </w:r>
          </w:p>
          <w:p>
            <w:pPr>
              <w:numPr>
                <w:numId w:val="42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매물 추천:</w:t>
            </w:r>
            <w:r>
              <w:rPr>
                <w:shd w:val="clear"/>
              </w:rPr>
              <w:t xml:space="preserve"> 사용자가 특정 지역에 공장 부지를 필요로 할 때, 해당 지역의 매물 데이터를 </w:t>
            </w:r>
            <w:r>
              <w:rPr>
                <w:shd w:val="clear"/>
              </w:rPr>
              <w:t xml:space="preserve">바탕으로 여러 매물을 추천합니다.</w:t>
            </w:r>
          </w:p>
          <w:p>
            <w:pPr>
              <w:numPr>
                <w:numId w:val="42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데이터 업데이트:</w:t>
            </w:r>
            <w:r>
              <w:rPr>
                <w:shd w:val="clear"/>
              </w:rPr>
              <w:t xml:space="preserve"> 지속적으로 새로운 매물 데이터를 수집하여 모델을 최신 상태로 </w:t>
            </w:r>
            <w:r>
              <w:rPr>
                <w:shd w:val="clear"/>
              </w:rPr>
              <w:t xml:space="preserve">유지하고, 추천의 품질을 개선합니다.</w:t>
            </w:r>
          </w:p>
          <w:p>
            <w:pPr>
              <w:numPr>
                <w:numId w:val="0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</w:p>
          <w:p>
            <w:pPr>
              <w:pStyle w:val="PO26"/>
              <w:numPr>
                <w:numId w:val="41"/>
                <w:ilvl w:val="0"/>
              </w:numPr>
              <w:rPr>
                <w:color w:val="000000" w:themeColor="text1"/>
                <w:sz w:val="32"/>
                <w:szCs w:val="32"/>
                <w:shd w:val="clear"/>
                <w:rFonts w:asciiTheme="majorHAnsi" w:eastAsiaTheme="majorEastAsia" w:hAnsiTheme="majorHAnsi" w:cstheme="majorBidi"/>
              </w:rPr>
            </w:pPr>
            <w:r>
              <w:rPr>
                <w:color w:val="000000" w:themeColor="text1"/>
                <w:sz w:val="32"/>
                <w:szCs w:val="32"/>
                <w:shd w:val="clear"/>
                <w:rFonts w:asciiTheme="majorHAnsi" w:eastAsiaTheme="majorEastAsia" w:hAnsiTheme="majorHAnsi" w:cstheme="majorBidi"/>
              </w:rPr>
              <w:t xml:space="preserve">업종 코드 기반 GPT 4.0 API 활용 설명</w:t>
            </w:r>
          </w:p>
          <w:p>
            <w:pPr>
              <w:rPr>
                <w:color w:val="000000" w:themeColor="text1"/>
                <w:sz w:val="32"/>
                <w:szCs w:val="32"/>
                <w:shd w:val="clear"/>
                <w:rFonts w:asciiTheme="majorHAnsi" w:eastAsiaTheme="majorEastAsia" w:hAnsiTheme="majorHAnsi" w:cstheme="majorBidi"/>
              </w:rPr>
            </w:pPr>
            <w:r>
              <w:rPr>
                <w:shd w:val="clear"/>
              </w:rPr>
              <w:t xml:space="preserve">사용자로부터 특정 업종 코드를 입력</w:t>
            </w:r>
            <w:r>
              <w:rPr>
                <w:shd w:val="clear"/>
                <w:rFonts w:hint="eastAsia"/>
              </w:rPr>
              <w:t xml:space="preserve"> </w:t>
            </w:r>
            <w:r>
              <w:rPr>
                <w:shd w:val="clear"/>
              </w:rPr>
              <w:t xml:space="preserve">받아 해당 업종의 장점, 단점, 전망에 대한 정보를 제공하는 </w:t>
            </w:r>
            <w:r>
              <w:rPr>
                <w:shd w:val="clear"/>
              </w:rPr>
              <w:t xml:space="preserve">기능을 포함하고 있습니다. 이를 위해 GPT 4.0 API를 활용하여 업종에 대한 상세한 분석과 설명을 </w:t>
            </w:r>
            <w:r>
              <w:rPr>
                <w:shd w:val="clear"/>
              </w:rPr>
              <w:t xml:space="preserve">제공합니다. 이 방법은 업종별 특성에 대한 심도 있는 정보를 사용자에게 제공함으로써, 사용자들</w:t>
            </w:r>
            <w:r>
              <w:rPr>
                <w:shd w:val="clear"/>
              </w:rPr>
              <w:t xml:space="preserve">이 보다 나은 의사결정을 할 수 있도록 지원합니다.</w:t>
            </w:r>
          </w:p>
          <w:p>
            <w:pPr>
              <w:spacing w:before="100" w:beforeAutospacing="1"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4"/>
                <w:szCs w:val="24"/>
                <w:shd w:val="clear"/>
                <w:rFonts w:ascii="굴림" w:eastAsia="굴림" w:hAnsi="Symbol" w:cs="굴림"/>
              </w:rPr>
              <w:t>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 </w:t>
            </w:r>
            <w:r>
              <w:rPr>
                <w:b w:val="1"/>
                <w:sz w:val="24"/>
                <w:szCs w:val="24"/>
                <w:shd w:val="clear"/>
                <w:rFonts w:ascii="굴림" w:eastAsia="굴림" w:hAnsi="굴림" w:cs="굴림"/>
              </w:rPr>
              <w:t xml:space="preserve">사용자 입력 받기</w:t>
            </w:r>
          </w:p>
          <w:p>
            <w:pPr>
              <w:numPr>
                <w:numId w:val="43"/>
                <w:ilvl w:val="0"/>
              </w:numPr>
              <w:spacing w:before="100" w:beforeAutospacing="1"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사용자로부터 업종 코드를 입력받습니다. 업종 코드는 산업 분류에 따라 각 업종을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식별할 수 있는 고유한 코드입니다.</w:t>
            </w:r>
          </w:p>
          <w:p>
            <w:pPr>
              <w:spacing w:before="100" w:beforeAutospacing="1"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4"/>
                <w:szCs w:val="24"/>
                <w:shd w:val="clear"/>
                <w:rFonts w:ascii="굴림" w:eastAsia="굴림" w:hAnsi="Symbol" w:cs="굴림"/>
              </w:rPr>
              <w:t>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 </w:t>
            </w:r>
            <w:r>
              <w:rPr>
                <w:b w:val="1"/>
                <w:sz w:val="24"/>
                <w:szCs w:val="24"/>
                <w:shd w:val="clear"/>
                <w:rFonts w:ascii="굴림" w:eastAsia="굴림" w:hAnsi="굴림" w:cs="굴림"/>
              </w:rPr>
              <w:t xml:space="preserve">GPT 4.0 API 호출 준비</w:t>
            </w:r>
          </w:p>
          <w:p>
            <w:pPr>
              <w:numPr>
                <w:numId w:val="44"/>
                <w:ilvl w:val="0"/>
              </w:numPr>
              <w:spacing w:before="100" w:beforeAutospacing="1"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업종 코드가 입력되면, 해당 코드를 기반으로 GPT 4.0 API에 요청을 준비합니다.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요청에는 업종 코드에 대한 정보를 포함시키며, 이 정보를 바탕으로 GPT 4.0이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적절한 응답을 생성하도록 합니다.</w:t>
            </w:r>
          </w:p>
          <w:p>
            <w:pPr>
              <w:spacing w:before="100" w:beforeAutospacing="1"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4"/>
                <w:szCs w:val="24"/>
                <w:shd w:val="clear"/>
                <w:rFonts w:ascii="굴림" w:eastAsia="굴림" w:hAnsi="Symbol" w:cs="굴림"/>
              </w:rPr>
              <w:t>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 </w:t>
            </w:r>
            <w:r>
              <w:rPr>
                <w:b w:val="1"/>
                <w:sz w:val="24"/>
                <w:szCs w:val="24"/>
                <w:shd w:val="clear"/>
                <w:rFonts w:ascii="굴림" w:eastAsia="굴림" w:hAnsi="굴림" w:cs="굴림"/>
              </w:rPr>
              <w:t xml:space="preserve">API 호출</w:t>
            </w:r>
          </w:p>
          <w:p>
            <w:pPr>
              <w:numPr>
                <w:numId w:val="45"/>
                <w:ilvl w:val="0"/>
              </w:numPr>
              <w:spacing w:before="100" w:beforeAutospacing="1"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준비된 요청을 GPT 4.0 API에 보냅니다. 이 때, API는 업종 코드에 대응하는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업종에 대한 장점, 단점, 전망을 분석하고 응답으로 제공합니다.</w:t>
            </w:r>
          </w:p>
          <w:p>
            <w:pPr>
              <w:spacing w:before="100" w:beforeAutospacing="1"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4"/>
                <w:szCs w:val="24"/>
                <w:shd w:val="clear"/>
                <w:rFonts w:ascii="굴림" w:eastAsia="굴림" w:hAnsi="Symbol" w:cs="굴림"/>
              </w:rPr>
              <w:t>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 </w:t>
            </w:r>
            <w:r>
              <w:rPr>
                <w:b w:val="1"/>
                <w:sz w:val="24"/>
                <w:szCs w:val="24"/>
                <w:shd w:val="clear"/>
                <w:rFonts w:ascii="굴림" w:eastAsia="굴림" w:hAnsi="굴림" w:cs="굴림"/>
              </w:rPr>
              <w:t xml:space="preserve">응답 처리 및 사용자에게 정보 제공</w:t>
            </w:r>
          </w:p>
          <w:p>
            <w:pPr>
              <w:numPr>
                <w:numId w:val="46"/>
                <w:ilvl w:val="0"/>
              </w:numPr>
              <w:spacing w:before="100" w:beforeAutospacing="1" w:after="100" w:afterAutospacing="1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GPT 4.0 API로부터 받은 응답을 처리하여 사용자에게 전달합니다. 응답에는 해당 </w:t>
            </w:r>
            <w:r>
              <w:rPr>
                <w:sz w:val="24"/>
                <w:szCs w:val="24"/>
                <w:shd w:val="clear"/>
                <w:rFonts w:ascii="굴림" w:eastAsia="굴림" w:hAnsi="굴림" w:cs="굴림"/>
              </w:rPr>
              <w:t xml:space="preserve">업종의 장점, 단점, 그리고 미래 전망에 대한 상세한 설명이 포함됩니다.</w:t>
            </w:r>
          </w:p>
          <w:p>
            <w:pPr>
              <w:rPr>
                <w:color w:val="000000" w:themeColor="text1"/>
                <w:sz w:val="32"/>
                <w:szCs w:val="32"/>
                <w:shd w:val="clear"/>
                <w:rFonts w:asciiTheme="majorHAnsi" w:eastAsiaTheme="majorEastAsia" w:hAnsiTheme="majorHAnsi" w:cstheme="majorBidi"/>
              </w:rPr>
            </w:pPr>
            <w:r>
              <w:rPr>
                <w:sz w:val="20"/>
              </w:rPr>
              <w:drawing>
                <wp:inline distT="0" distB="0" distL="0" distR="0">
                  <wp:extent cx="6269355" cy="3896360"/>
                  <wp:effectExtent l="0" t="0" r="0" b="8890"/>
                  <wp:docPr id="92" name="그림 1" descr="텍스트, 스크린샷, 폰트이(가) 표시된 사진  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C:/Users/vivid/AppData/Roaming/PolarisOffice/ETemp/9552_11243624/image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9990" cy="389699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color w:val="000000" w:themeColor="text1"/>
                <w:sz w:val="32"/>
                <w:szCs w:val="32"/>
                <w:shd w:val="clear"/>
                <w:rFonts w:asciiTheme="majorHAnsi" w:eastAsiaTheme="majorEastAsia" w:hAnsiTheme="majorHAnsi" w:cstheme="majorBidi"/>
              </w:rPr>
            </w:pPr>
            <w:r>
              <w:rPr>
                <w:sz w:val="20"/>
              </w:rPr>
              <w:drawing>
                <wp:inline distT="0" distB="0" distL="0" distR="0">
                  <wp:extent cx="6250940" cy="3152140"/>
                  <wp:effectExtent l="0" t="0" r="0" b="0"/>
                  <wp:docPr id="93" name="그림 1" descr="텍스트, 스크린샷, 폰트이(가) 표시된 사진  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C:/Users/vivid/AppData/Roaming/PolarisOffice/ETemp/9552_11243624/image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1575" cy="315277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26"/>
              <w:numPr>
                <w:numId w:val="41"/>
                <w:ilvl w:val="0"/>
              </w:numPr>
              <w:rPr>
                <w:color w:val="000000" w:themeColor="text1"/>
                <w:sz w:val="32"/>
                <w:szCs w:val="32"/>
                <w:shd w:val="clear"/>
                <w:rFonts w:asciiTheme="majorHAnsi" w:eastAsiaTheme="majorEastAsia" w:hAnsiTheme="majorHAnsi" w:cstheme="majorBidi"/>
              </w:rPr>
            </w:pPr>
            <w:r>
              <w:rPr>
                <w:color w:val="000000" w:themeColor="text1"/>
                <w:sz w:val="32"/>
                <w:szCs w:val="32"/>
                <w:shd w:val="clear"/>
                <w:rFonts w:asciiTheme="majorHAnsi" w:eastAsiaTheme="majorEastAsia" w:hAnsiTheme="majorHAnsi" w:cstheme="majorBidi"/>
              </w:rPr>
              <w:t xml:space="preserve">중소벤처 지역 특화 산업 데이터 활용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중소벤처 지역 특화 데이터를 활용하여 사용자들에게 최적의 공장 부지를 추천하는 </w:t>
            </w:r>
            <w:r>
              <w:rPr>
                <w:shd w:val="clear"/>
              </w:rPr>
              <w:t xml:space="preserve">시스템을 </w:t>
            </w:r>
            <w:r>
              <w:rPr>
                <w:shd w:val="clear"/>
                <w:rFonts w:hint="eastAsia"/>
              </w:rPr>
              <w:t>추가</w:t>
            </w:r>
            <w:r>
              <w:rPr>
                <w:shd w:val="clear"/>
              </w:rPr>
              <w:t xml:space="preserve">하였습니다. 이를 통해 각 지역의 주력 산업 정보를 사용자들에게 </w:t>
            </w:r>
            <w:r>
              <w:rPr>
                <w:shd w:val="clear"/>
              </w:rPr>
              <w:t xml:space="preserve">제공함으로써, 적합한 산업에 맞는 최적의 공장 부지를 선택할 수 </w:t>
            </w:r>
            <w:r>
              <w:rPr>
                <w:shd w:val="clear"/>
                <w:rFonts w:hint="eastAsia"/>
              </w:rPr>
              <w:t xml:space="preserve">있는 정보를 </w:t>
            </w:r>
            <w:r>
              <w:rPr>
                <w:shd w:val="clear"/>
                <w:rFonts w:hint="eastAsia"/>
              </w:rPr>
              <w:t>제공합니다.</w:t>
            </w:r>
            <w:r>
              <w:rPr>
                <w:shd w:val="clear"/>
              </w:rPr>
              <w:t xml:space="preserve"> 아래는 중소벤처 지역 특화 산업 데이터의 활용 방안에 대한 상세 </w:t>
            </w:r>
            <w:r>
              <w:rPr>
                <w:shd w:val="clear"/>
              </w:rPr>
              <w:t>설명입니다.</w:t>
            </w:r>
          </w:p>
          <w:p>
            <w:pPr>
              <w:pStyle w:val="PO10"/>
              <w:numPr>
                <w:numId w:val="50"/>
                <w:ilvl w:val="0"/>
              </w:numPr>
              <w:rPr>
                <w:shd w:val="clear"/>
              </w:rPr>
            </w:pPr>
            <w:r>
              <w:rPr>
                <w:shd w:val="clear"/>
              </w:rPr>
              <w:t xml:space="preserve">전국적인 중소벤처 지역 특화 데이터 제공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먼저, 사용자들에게 전국적으로 중소벤처 지역 특화 데이터가 있다는 사실을 알려줍니다. </w:t>
            </w:r>
            <w:r>
              <w:rPr>
                <w:shd w:val="clear"/>
              </w:rPr>
              <w:t xml:space="preserve">이를 통해 각 지역이 어떤 산업에 주력하고 있는지를 명확히 인식할 수 있으며, 사용자는 </w:t>
            </w:r>
            <w:r>
              <w:rPr>
                <w:shd w:val="clear"/>
              </w:rPr>
              <w:t xml:space="preserve">자신의 업종에 맞는 최적의 지역을 쉽게 파악할 수 있습니다. 아래는 전국 각 지역의 </w:t>
            </w:r>
            <w:r>
              <w:rPr>
                <w:shd w:val="clear"/>
              </w:rPr>
              <w:t xml:space="preserve">주력 산업을 정리한 데이터입니다.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9918" w:type="dxa"/>
              <w:tblLook w:val="0004A0" w:firstRow="1" w:lastRow="0" w:firstColumn="1" w:lastColumn="0" w:noHBand="0" w:noVBand="1"/>
              <w:tblLayout w:type="fixed"/>
            </w:tblPr>
            <w:tblGrid>
              <w:gridCol w:w="988"/>
              <w:gridCol w:w="1701"/>
              <w:gridCol w:w="7229"/>
            </w:tblGrid>
            <w:tr>
              <w:trPr/>
              <w:tc>
                <w:tcPr>
                  <w:tcW w:type="dxa" w:w="988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연번</w:t>
                  </w:r>
                </w:p>
              </w:tc>
              <w:tc>
                <w:tcPr>
                  <w:tcW w:type="dxa" w:w="1701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지역</w:t>
                  </w:r>
                </w:p>
              </w:tc>
              <w:tc>
                <w:tcPr>
                  <w:tcW w:type="dxa" w:w="7229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주력산업</w:t>
                  </w:r>
                </w:p>
              </w:tc>
            </w:tr>
            <w:tr>
              <w:trPr/>
              <w:tc>
                <w:tcPr>
                  <w:tcW w:type="dxa" w:w="988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1</w:t>
                  </w:r>
                </w:p>
              </w:tc>
              <w:tc>
                <w:tcPr>
                  <w:tcW w:type="dxa" w:w="1701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부산</w:t>
                  </w:r>
                </w:p>
              </w:tc>
              <w:tc>
                <w:tcPr>
                  <w:tcW w:type="dxa" w:w="7229"/>
                  <w:vAlign w:val="center"/>
                </w:tcPr>
                <w:p>
                  <w:pPr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 xml:space="preserve">초정밀 소재부품, 저온고압 에너지저장 공급시스템, 실버케어테크 </w:t>
                  </w:r>
                </w:p>
              </w:tc>
            </w:tr>
            <w:tr>
              <w:trPr/>
              <w:tc>
                <w:tcPr>
                  <w:tcW w:type="dxa" w:w="988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2</w:t>
                  </w:r>
                </w:p>
              </w:tc>
              <w:tc>
                <w:tcPr>
                  <w:tcW w:type="dxa" w:w="1701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대구</w:t>
                  </w:r>
                </w:p>
              </w:tc>
              <w:tc>
                <w:tcPr>
                  <w:tcW w:type="dxa" w:w="7229"/>
                  <w:vAlign w:val="center"/>
                </w:tcPr>
                <w:p>
                  <w:pPr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 xml:space="preserve">전기·자율 모빌리티부품, 기계요소 소재부품, 디지털의료기기</w:t>
                  </w:r>
                </w:p>
              </w:tc>
            </w:tr>
            <w:tr>
              <w:trPr/>
              <w:tc>
                <w:tcPr>
                  <w:tcW w:type="dxa" w:w="988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3</w:t>
                  </w:r>
                </w:p>
              </w:tc>
              <w:tc>
                <w:tcPr>
                  <w:tcW w:type="dxa" w:w="1701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광주</w:t>
                  </w:r>
                </w:p>
              </w:tc>
              <w:tc>
                <w:tcPr>
                  <w:tcW w:type="dxa" w:w="7229"/>
                  <w:vAlign w:val="center"/>
                </w:tcPr>
                <w:p>
                  <w:pPr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 xml:space="preserve">스마트홈 부품, 모빌리티 의장·전장부품, 생체의료 소재·부품</w:t>
                  </w:r>
                </w:p>
              </w:tc>
            </w:tr>
            <w:tr>
              <w:trPr/>
              <w:tc>
                <w:tcPr>
                  <w:tcW w:type="dxa" w:w="988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4</w:t>
                  </w:r>
                </w:p>
              </w:tc>
              <w:tc>
                <w:tcPr>
                  <w:tcW w:type="dxa" w:w="1701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대전</w:t>
                  </w:r>
                </w:p>
              </w:tc>
              <w:tc>
                <w:tcPr>
                  <w:tcW w:type="dxa" w:w="7229"/>
                  <w:vAlign w:val="center"/>
                </w:tcPr>
                <w:p>
                  <w:pPr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 xml:space="preserve">나노반도체, 물류·국방 서비스 로봇, 정밀의료 바이오헬스</w:t>
                  </w:r>
                </w:p>
              </w:tc>
            </w:tr>
            <w:tr>
              <w:trPr/>
              <w:tc>
                <w:tcPr>
                  <w:tcW w:type="dxa" w:w="988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5</w:t>
                  </w:r>
                </w:p>
              </w:tc>
              <w:tc>
                <w:tcPr>
                  <w:tcW w:type="dxa" w:w="1701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울산</w:t>
                  </w:r>
                </w:p>
              </w:tc>
              <w:tc>
                <w:tcPr>
                  <w:tcW w:type="dxa" w:w="7229"/>
                  <w:vAlign w:val="center"/>
                </w:tcPr>
                <w:p>
                  <w:pPr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 xml:space="preserve">전기 자동차부품, 가스연료 선박기자재, 기능성 화학소재</w:t>
                  </w:r>
                </w:p>
              </w:tc>
            </w:tr>
            <w:tr>
              <w:trPr/>
              <w:tc>
                <w:tcPr>
                  <w:tcW w:type="dxa" w:w="988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6</w:t>
                  </w:r>
                </w:p>
              </w:tc>
              <w:tc>
                <w:tcPr>
                  <w:tcW w:type="dxa" w:w="1701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강원</w:t>
                  </w:r>
                </w:p>
              </w:tc>
              <w:tc>
                <w:tcPr>
                  <w:tcW w:type="dxa" w:w="7229"/>
                  <w:vAlign w:val="center"/>
                </w:tcPr>
                <w:p>
                  <w:pPr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 xml:space="preserve">천연물 바이오소재, 세라믹원료소재, 디지털 헬스케어 </w:t>
                  </w:r>
                </w:p>
              </w:tc>
            </w:tr>
            <w:tr>
              <w:trPr/>
              <w:tc>
                <w:tcPr>
                  <w:tcW w:type="dxa" w:w="988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7</w:t>
                  </w:r>
                </w:p>
              </w:tc>
              <w:tc>
                <w:tcPr>
                  <w:tcW w:type="dxa" w:w="1701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충북</w:t>
                  </w:r>
                </w:p>
              </w:tc>
              <w:tc>
                <w:tcPr>
                  <w:tcW w:type="dxa" w:w="7229"/>
                  <w:vAlign w:val="center"/>
                </w:tcPr>
                <w:p>
                  <w:pPr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 xml:space="preserve">첨단반도체, 융합바이오, 친환경 모빌리티부품 </w:t>
                  </w:r>
                </w:p>
              </w:tc>
            </w:tr>
            <w:tr>
              <w:trPr/>
              <w:tc>
                <w:tcPr>
                  <w:tcW w:type="dxa" w:w="988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8</w:t>
                  </w:r>
                </w:p>
              </w:tc>
              <w:tc>
                <w:tcPr>
                  <w:tcW w:type="dxa" w:w="1701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충남</w:t>
                  </w:r>
                </w:p>
              </w:tc>
              <w:tc>
                <w:tcPr>
                  <w:tcW w:type="dxa" w:w="7229"/>
                  <w:vAlign w:val="center"/>
                </w:tcPr>
                <w:p>
                  <w:pPr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 xml:space="preserve">디스플레이 부품·장비, 탄소저감 자동차부품, 고기능성 그린바이오</w:t>
                  </w:r>
                </w:p>
              </w:tc>
            </w:tr>
            <w:tr>
              <w:trPr/>
              <w:tc>
                <w:tcPr>
                  <w:tcW w:type="dxa" w:w="988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9</w:t>
                  </w:r>
                </w:p>
              </w:tc>
              <w:tc>
                <w:tcPr>
                  <w:tcW w:type="dxa" w:w="1701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전북</w:t>
                  </w:r>
                </w:p>
              </w:tc>
              <w:tc>
                <w:tcPr>
                  <w:tcW w:type="dxa" w:w="7229"/>
                  <w:vAlign w:val="center"/>
                </w:tcPr>
                <w:p>
                  <w:pPr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 xml:space="preserve">농생명 바이오, 특수목적용 지능형 기계부품, 탄소융복합소재</w:t>
                  </w:r>
                </w:p>
              </w:tc>
            </w:tr>
            <w:tr>
              <w:trPr/>
              <w:tc>
                <w:tcPr>
                  <w:tcW w:type="dxa" w:w="988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10</w:t>
                  </w:r>
                </w:p>
              </w:tc>
              <w:tc>
                <w:tcPr>
                  <w:tcW w:type="dxa" w:w="1701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전남</w:t>
                  </w:r>
                </w:p>
              </w:tc>
              <w:tc>
                <w:tcPr>
                  <w:tcW w:type="dxa" w:w="7229"/>
                  <w:vAlign w:val="center"/>
                </w:tcPr>
                <w:p>
                  <w:pPr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 xml:space="preserve">환경에너지 소재부품, 친환경에너지 설비기자재, 자연유래 헬스케어</w:t>
                  </w:r>
                </w:p>
              </w:tc>
            </w:tr>
            <w:tr>
              <w:trPr/>
              <w:tc>
                <w:tcPr>
                  <w:tcW w:type="dxa" w:w="988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11</w:t>
                  </w:r>
                </w:p>
              </w:tc>
              <w:tc>
                <w:tcPr>
                  <w:tcW w:type="dxa" w:w="1701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경북</w:t>
                  </w:r>
                </w:p>
              </w:tc>
              <w:tc>
                <w:tcPr>
                  <w:tcW w:type="dxa" w:w="7229"/>
                  <w:vAlign w:val="center"/>
                </w:tcPr>
                <w:p>
                  <w:pPr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 xml:space="preserve">첨단 디지털부품, 신소재부품가공, 라이프케어소재</w:t>
                  </w:r>
                </w:p>
              </w:tc>
            </w:tr>
            <w:tr>
              <w:trPr/>
              <w:tc>
                <w:tcPr>
                  <w:tcW w:type="dxa" w:w="988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12</w:t>
                  </w:r>
                </w:p>
              </w:tc>
              <w:tc>
                <w:tcPr>
                  <w:tcW w:type="dxa" w:w="1701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경남</w:t>
                  </w:r>
                </w:p>
              </w:tc>
              <w:tc>
                <w:tcPr>
                  <w:tcW w:type="dxa" w:w="7229"/>
                  <w:vAlign w:val="center"/>
                </w:tcPr>
                <w:p>
                  <w:pPr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 xml:space="preserve">첨단 정밀기계, 첨단 항공부품, 항노화메디컬 </w:t>
                  </w:r>
                </w:p>
              </w:tc>
            </w:tr>
            <w:tr>
              <w:trPr/>
              <w:tc>
                <w:tcPr>
                  <w:tcW w:type="dxa" w:w="988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13</w:t>
                  </w:r>
                </w:p>
              </w:tc>
              <w:tc>
                <w:tcPr>
                  <w:tcW w:type="dxa" w:w="1701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제주</w:t>
                  </w:r>
                </w:p>
              </w:tc>
              <w:tc>
                <w:tcPr>
                  <w:tcW w:type="dxa" w:w="7229"/>
                  <w:vAlign w:val="center"/>
                </w:tcPr>
                <w:p>
                  <w:pPr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 xml:space="preserve">지능형 관광서비스, 청정바이오, 그린에너지 솔루션 </w:t>
                  </w:r>
                </w:p>
              </w:tc>
            </w:tr>
            <w:tr>
              <w:trPr/>
              <w:tc>
                <w:tcPr>
                  <w:tcW w:type="dxa" w:w="988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14</w:t>
                  </w:r>
                </w:p>
              </w:tc>
              <w:tc>
                <w:tcPr>
                  <w:tcW w:type="dxa" w:w="1701"/>
                  <w:vAlign w:val="center"/>
                </w:tcPr>
                <w:p>
                  <w:pPr>
                    <w:jc w:val="center"/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>세종</w:t>
                  </w:r>
                </w:p>
              </w:tc>
              <w:tc>
                <w:tcPr>
                  <w:tcW w:type="dxa" w:w="7229"/>
                  <w:vAlign w:val="center"/>
                </w:tcPr>
                <w:p>
                  <w:pPr>
                    <w:rPr>
                      <w:color w:val="000000" w:themeColor="text1"/>
                      <w:sz w:val="32"/>
                      <w:szCs w:val="32"/>
                      <w:shd w:val="clear"/>
                      <w:rFonts w:asciiTheme="majorHAnsi" w:eastAsiaTheme="majorEastAsia" w:hAnsiTheme="majorHAnsi" w:cstheme="majorBidi"/>
                    </w:rPr>
                  </w:pPr>
                  <w:r>
                    <w:rPr>
                      <w:color w:val="000000"/>
                      <w:shd w:val="clear"/>
                      <w:rFonts w:ascii="맑은 고딕" w:eastAsia="맑은 고딕" w:hAnsi="맑은 고딕" w:hint="eastAsia"/>
                    </w:rPr>
                    <w:t xml:space="preserve">지능형 모빌리티 부품, 기능성 바이오 소재</w:t>
                  </w:r>
                </w:p>
              </w:tc>
            </w:tr>
          </w:tbl>
          <w:p>
            <w:pPr>
              <w:pStyle w:val="PO10"/>
              <w:numPr>
                <w:numId w:val="50"/>
                <w:ilvl w:val="0"/>
              </w:numPr>
              <w:rPr>
                <w:shd w:val="clear"/>
              </w:rPr>
            </w:pPr>
            <w:r>
              <w:rPr>
                <w:shd w:val="clear"/>
              </w:rPr>
              <w:t xml:space="preserve">지역 선택 시 상세 정보 제공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사용자가 특정 지역을 선택했을 때, 해당 지역의 주력 산업에 대한 상세 정보를 </w:t>
            </w:r>
            <w:r>
              <w:rPr>
                <w:shd w:val="clear"/>
              </w:rPr>
              <w:t xml:space="preserve">제공합니다. 이를 통해 사용자는 선택한 지역이 어떤 산업에 주력하고 있으며, 해당 </w:t>
            </w:r>
            <w:r>
              <w:rPr>
                <w:shd w:val="clear"/>
              </w:rPr>
              <w:t xml:space="preserve">지역에서 어떤 사업을 추진할 수 있는지에 대해 구체적으로 알 수 있습니다. </w:t>
            </w:r>
          </w:p>
          <w:p>
            <w:pPr>
              <w:rPr>
                <w:color w:val="000000" w:themeColor="text1"/>
                <w:sz w:val="32"/>
                <w:szCs w:val="32"/>
                <w:shd w:val="clear"/>
                <w:rFonts w:asciiTheme="majorHAnsi" w:eastAsiaTheme="majorEastAsia" w:hAnsiTheme="majorHAnsi" w:cstheme="majorBidi"/>
              </w:rPr>
            </w:pPr>
          </w:p>
          <w:p>
            <w:pPr>
              <w:pStyle w:val="PO9"/>
              <w:numPr>
                <w:numId w:val="41"/>
                <w:ilvl w:val="0"/>
              </w:numPr>
              <w:rPr>
                <w:sz w:val="32"/>
                <w:szCs w:val="32"/>
                <w:shd w:val="clear"/>
              </w:rPr>
            </w:pPr>
            <w:r>
              <w:rPr>
                <w:sz w:val="32"/>
                <w:szCs w:val="32"/>
                <w:shd w:val="clear"/>
              </w:rPr>
              <w:t xml:space="preserve">추천 시스템 활용 방안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최종적으로 </w:t>
            </w:r>
            <w:r>
              <w:rPr>
                <w:shd w:val="clear"/>
              </w:rPr>
              <w:t xml:space="preserve">사용자에게 최적의 공장 부지를 추천하기 위해 다음과 같은 절차를 거칩니다. </w:t>
            </w:r>
            <w:r>
              <w:rPr>
                <w:shd w:val="clear"/>
              </w:rPr>
              <w:t xml:space="preserve">이를 통해 사용자는 자신이 원하는 지역과 조건에 맞는 공장 부지를 쉽게 찾을 수 </w:t>
            </w:r>
            <w:r>
              <w:rPr>
                <w:shd w:val="clear"/>
              </w:rPr>
              <w:t xml:space="preserve">있으며, 선택한 업종에 대한 상세 정보도 제공받을 수 있습니다.</w:t>
            </w:r>
          </w:p>
          <w:p>
            <w:pPr>
              <w:pStyle w:val="PO10"/>
              <w:numPr>
                <w:numId w:val="51"/>
                <w:ilvl w:val="0"/>
              </w:numPr>
              <w:rPr>
                <w:shd w:val="clear"/>
              </w:rPr>
            </w:pPr>
            <w:r>
              <w:rPr>
                <w:shd w:val="clear"/>
              </w:rPr>
              <w:t xml:space="preserve">지역 선택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먼저, 사용자는 아래의 17개 지역 중에서 원하는 지역을 선택합니다.</w:t>
            </w:r>
          </w:p>
          <w:p>
            <w:pPr>
              <w:numPr>
                <w:numId w:val="47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>강원도</w:t>
            </w:r>
          </w:p>
          <w:p>
            <w:pPr>
              <w:numPr>
                <w:numId w:val="47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>경기도</w:t>
            </w:r>
          </w:p>
          <w:p>
            <w:pPr>
              <w:numPr>
                <w:numId w:val="47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>경상남도</w:t>
            </w:r>
          </w:p>
          <w:p>
            <w:pPr>
              <w:numPr>
                <w:numId w:val="47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>경상북도</w:t>
            </w:r>
          </w:p>
          <w:p>
            <w:pPr>
              <w:numPr>
                <w:numId w:val="47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>광주광역시</w:t>
            </w:r>
          </w:p>
          <w:p>
            <w:pPr>
              <w:numPr>
                <w:numId w:val="47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>대구광역시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>대전광역시</w:t>
            </w:r>
          </w:p>
          <w:p>
            <w:pPr>
              <w:numPr>
                <w:numId w:val="47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>부산광역시</w:t>
            </w:r>
          </w:p>
          <w:p>
            <w:pPr>
              <w:numPr>
                <w:numId w:val="47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>서울특별시</w:t>
            </w:r>
          </w:p>
          <w:p>
            <w:pPr>
              <w:numPr>
                <w:numId w:val="47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>세종특별자치시</w:t>
            </w:r>
          </w:p>
          <w:p>
            <w:pPr>
              <w:numPr>
                <w:numId w:val="47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>울산광역시</w:t>
            </w:r>
          </w:p>
          <w:p>
            <w:pPr>
              <w:numPr>
                <w:numId w:val="47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>인천광역시</w:t>
            </w:r>
          </w:p>
          <w:p>
            <w:pPr>
              <w:numPr>
                <w:numId w:val="47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>전라남도</w:t>
            </w:r>
          </w:p>
          <w:p>
            <w:pPr>
              <w:numPr>
                <w:numId w:val="47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>전라북도</w:t>
            </w:r>
          </w:p>
          <w:p>
            <w:pPr>
              <w:numPr>
                <w:numId w:val="47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>제주특별자치도</w:t>
            </w:r>
          </w:p>
          <w:p>
            <w:pPr>
              <w:numPr>
                <w:numId w:val="47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>충청남도</w:t>
            </w:r>
          </w:p>
          <w:p>
            <w:pPr>
              <w:numPr>
                <w:numId w:val="47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>충청북도</w:t>
            </w:r>
          </w:p>
          <w:p>
            <w:pPr>
              <w:pStyle w:val="PO10"/>
              <w:numPr>
                <w:numId w:val="51"/>
                <w:ilvl w:val="0"/>
              </w:numPr>
              <w:rPr>
                <w:shd w:val="clear"/>
              </w:rPr>
            </w:pPr>
            <w:r>
              <w:rPr>
                <w:shd w:val="clear"/>
              </w:rPr>
              <w:t xml:space="preserve">중소벤처 지역 특화 데이터 제공</w:t>
            </w:r>
          </w:p>
          <w:p>
            <w:pPr>
              <w:pStyle w:val="PO166"/>
              <w:ind w:left="440" w:firstLine="0" w:leftChars="200"/>
              <w:rPr>
                <w:shd w:val="clear"/>
              </w:rPr>
            </w:pPr>
            <w:r>
              <w:rPr>
                <w:shd w:val="clear"/>
              </w:rPr>
              <w:t xml:space="preserve">선택한 지역에 대한 중소벤처 지역 특화 데이터를 사용자에게 제공합니다. 이를 통해 </w:t>
            </w:r>
            <w:r>
              <w:rPr>
                <w:shd w:val="clear"/>
              </w:rPr>
              <w:t xml:space="preserve">사용자는 해당 지역의 주력 산업을 확인하고, 자신이 원하는 업종과의 연관성을 </w:t>
            </w:r>
            <w:r>
              <w:rPr>
                <w:shd w:val="clear"/>
              </w:rPr>
              <w:t xml:space="preserve">파악할 수 있습니다.</w:t>
            </w:r>
          </w:p>
          <w:p>
            <w:pPr>
              <w:pStyle w:val="PO10"/>
              <w:numPr>
                <w:numId w:val="51"/>
                <w:ilvl w:val="0"/>
              </w:numPr>
              <w:rPr>
                <w:shd w:val="clear"/>
              </w:rPr>
            </w:pPr>
            <w:r>
              <w:rPr>
                <w:shd w:val="clear"/>
              </w:rPr>
              <w:t xml:space="preserve">사용자 정보 수집 및 지역 추천</w:t>
            </w:r>
          </w:p>
          <w:p>
            <w:pPr>
              <w:pStyle w:val="PO166"/>
              <w:ind w:left="440" w:firstLine="0" w:leftChars="200"/>
              <w:rPr>
                <w:shd w:val="clear"/>
              </w:rPr>
            </w:pPr>
            <w:r>
              <w:rPr>
                <w:shd w:val="clear"/>
              </w:rPr>
              <w:t xml:space="preserve">사용자로부터 다음 8개의 질문에 대한 답변을 받습니다.</w:t>
            </w:r>
          </w:p>
          <w:p>
            <w:pPr>
              <w:numPr>
                <w:numId w:val="48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어떤 공장을 보유하고 싶으신가요? (임대: 1 / 자가: 2)</w:t>
            </w:r>
          </w:p>
          <w:p>
            <w:pPr>
              <w:numPr>
                <w:numId w:val="48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공장 등록구분을 선택해주세요. (1: 등록변경 / 2: 부분등록 / 3: 신규등록 / 4: </w:t>
            </w:r>
            <w:r>
              <w:rPr>
                <w:rStyle w:val="PO20"/>
                <w:shd w:val="clear"/>
              </w:rPr>
              <w:t>완료신고)</w:t>
            </w:r>
          </w:p>
          <w:p>
            <w:pPr>
              <w:numPr>
                <w:numId w:val="48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공장 규모를 선택해주세요. (1: 소기업 / 2: 중기업 / 3: 대기업)</w:t>
            </w:r>
          </w:p>
          <w:p>
            <w:pPr>
              <w:numPr>
                <w:numId w:val="48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남자종업원 수를 입력해주세요.</w:t>
            </w:r>
          </w:p>
          <w:p>
            <w:pPr>
              <w:numPr>
                <w:numId w:val="48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여자종업원 수를 입력해주세요.</w:t>
            </w:r>
          </w:p>
          <w:p>
            <w:pPr>
              <w:numPr>
                <w:numId w:val="48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외국인 남자종업원 수를 입력해주세요.</w:t>
            </w:r>
          </w:p>
          <w:p>
            <w:pPr>
              <w:numPr>
                <w:numId w:val="48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외국인 여자종업원 수를 입력해주세요.</w:t>
            </w:r>
          </w:p>
          <w:p>
            <w:pPr>
              <w:numPr>
                <w:numId w:val="48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대표업종 코드를 입력해주세요. (예: 18111)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사용자로부터 수집한 정보를 바탕으로 최적의 지역을 추천합니다.</w:t>
            </w:r>
          </w:p>
          <w:p>
            <w:pPr>
              <w:pStyle w:val="PO10"/>
              <w:numPr>
                <w:numId w:val="51"/>
                <w:ilvl w:val="0"/>
              </w:numPr>
              <w:rPr>
                <w:shd w:val="clear"/>
              </w:rPr>
            </w:pPr>
            <w:r>
              <w:rPr>
                <w:shd w:val="clear"/>
              </w:rPr>
              <w:t xml:space="preserve">대표업종 설명 제공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사용자가 입력한 대표업종 코드에 대해 GPT-4.0 API를 사용하여 해당 산업의 장점, </w:t>
            </w:r>
            <w:r>
              <w:rPr>
                <w:shd w:val="clear"/>
              </w:rPr>
              <w:t xml:space="preserve">단점, 전망을 상세히 설명해줍니다. 이를 통해 사용자는 자신이 선택한 업종에 대한 깊은 </w:t>
            </w:r>
            <w:r>
              <w:rPr>
                <w:shd w:val="clear"/>
              </w:rPr>
              <w:t xml:space="preserve">이해를 얻을 수 있으며, 이를 바탕으로 더 나은 의사 결정을 할 수 있습니다.</w:t>
            </w:r>
          </w:p>
          <w:p>
            <w:pPr>
              <w:pStyle w:val="PO10"/>
              <w:numPr>
                <w:numId w:val="51"/>
                <w:ilvl w:val="0"/>
              </w:numPr>
              <w:rPr>
                <w:shd w:val="clear"/>
              </w:rPr>
            </w:pPr>
            <w:r>
              <w:rPr>
                <w:shd w:val="clear"/>
              </w:rPr>
              <w:t xml:space="preserve">매물 추천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추천받은 지역과 매물이 존재하는 공장 데이터를 매칭시켜 사용자가 찾고자 하는 공장 </w:t>
            </w:r>
            <w:r>
              <w:rPr>
                <w:shd w:val="clear"/>
              </w:rPr>
              <w:t xml:space="preserve">부지 매물을 추천합니다. 이를 통해 사용자는 추천된 지역 내에서 자신이 원하는 조건에 </w:t>
            </w:r>
            <w:r>
              <w:rPr>
                <w:shd w:val="clear"/>
              </w:rPr>
              <w:t xml:space="preserve">맞는 공장 부지를 쉽게 찾을 수 있습니다.</w:t>
            </w:r>
          </w:p>
          <w:p>
            <w:pPr>
              <w:pStyle w:val="PO9"/>
              <w:rPr>
                <w:b w:val="1"/>
                <w:shd w:val="clear"/>
              </w:rPr>
            </w:pPr>
            <w:r>
              <w:rPr>
                <w:b w:val="1"/>
                <w:shd w:val="clear"/>
              </w:rPr>
              <w:t xml:space="preserve">전체 절차 요약</w:t>
            </w:r>
          </w:p>
          <w:p>
            <w:pPr>
              <w:numPr>
                <w:numId w:val="49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지역 선택</w:t>
            </w:r>
            <w:r>
              <w:rPr>
                <w:shd w:val="clear"/>
              </w:rPr>
              <w:t xml:space="preserve">: 사용자는 17개 지역 중 원하는 지역을 선택합니다.</w:t>
            </w:r>
          </w:p>
          <w:p>
            <w:pPr>
              <w:numPr>
                <w:numId w:val="49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중소벤처 지역 특화 데이터 제공</w:t>
            </w:r>
            <w:r>
              <w:rPr>
                <w:shd w:val="clear"/>
              </w:rPr>
              <w:t xml:space="preserve">: 선택한 지역의 주력 산업 정보를 제공합니다.</w:t>
            </w:r>
          </w:p>
          <w:p>
            <w:pPr>
              <w:numPr>
                <w:numId w:val="49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사용자 정보 수집 및 지역 추천</w:t>
            </w:r>
            <w:r>
              <w:rPr>
                <w:shd w:val="clear"/>
              </w:rPr>
              <w:t xml:space="preserve">: 8개의 질문을 통해 사용자의 요구 사항을 수집하고, 이를 </w:t>
            </w:r>
            <w:r>
              <w:rPr>
                <w:shd w:val="clear"/>
              </w:rPr>
              <w:t xml:space="preserve">바탕으로 최적의 지역을 추천합니다.</w:t>
            </w:r>
          </w:p>
          <w:p>
            <w:pPr>
              <w:numPr>
                <w:numId w:val="49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대표업종 설명 제공</w:t>
            </w:r>
            <w:r>
              <w:rPr>
                <w:shd w:val="clear"/>
              </w:rPr>
              <w:t xml:space="preserve">: 사용자가 입력한 업종 코드에 대해 GPT-4.0 API를 통해 해당 업종의 </w:t>
            </w:r>
            <w:r>
              <w:rPr>
                <w:shd w:val="clear"/>
              </w:rPr>
              <w:t xml:space="preserve">장점, 단점, 전망을 설명합니다.</w:t>
            </w:r>
          </w:p>
          <w:p>
            <w:pPr>
              <w:numPr>
                <w:numId w:val="49"/>
                <w:ilvl w:val="0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매물 추천</w:t>
            </w:r>
            <w:r>
              <w:rPr>
                <w:shd w:val="clear"/>
              </w:rPr>
              <w:t xml:space="preserve">: 추천받은 지역과 매물을 매칭시켜 사용자가 원하는 공장 부지를 추천합니다.</w:t>
            </w:r>
          </w:p>
          <w:p>
            <w:p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최종적으로, 사용자는 공장 매물 추천과 선택한 업종에 대한 장점, 단점, 전망에 대한 정보를 </w:t>
            </w:r>
            <w:r>
              <w:rPr>
                <w:shd w:val="clear"/>
              </w:rPr>
              <w:t xml:space="preserve">얻음으로써, 공장 부지 추천에 대해 종합적이고 유익한 정보를 얻을 수 있습니다. 이를 통해 </w:t>
            </w:r>
            <w:r>
              <w:rPr>
                <w:shd w:val="clear"/>
              </w:rPr>
              <w:t xml:space="preserve">사용자들은 더 나은 의사 결정을 할 수 있으며, 최적의 공장 부지를 찾는 데 있어 많은 도움을 </w:t>
            </w:r>
            <w:r>
              <w:rPr>
                <w:shd w:val="clear"/>
              </w:rPr>
              <w:t xml:space="preserve">받을 수 있습니다.</w:t>
            </w:r>
          </w:p>
          <w:p>
            <w:pPr>
              <w:pStyle w:val="PO9"/>
              <w:numPr>
                <w:numId w:val="41"/>
                <w:ilvl w:val="0"/>
              </w:numPr>
              <w:rPr>
                <w:sz w:val="32"/>
                <w:szCs w:val="32"/>
                <w:shd w:val="clear"/>
              </w:rPr>
            </w:pPr>
            <w:r>
              <w:rPr>
                <w:sz w:val="32"/>
                <w:szCs w:val="32"/>
                <w:shd w:val="clear"/>
              </w:rPr>
              <w:t>결론</w:t>
            </w:r>
          </w:p>
          <w:p>
            <w:pPr>
              <w:pStyle w:val="PO166"/>
              <w:numPr>
                <w:numId w:val="54"/>
                <w:ilvl w:val="0"/>
              </w:numPr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산업 집적지의 중요성</w:t>
            </w:r>
            <w:r>
              <w:rPr>
                <w:shd w:val="clear"/>
              </w:rPr>
              <w:t xml:space="preserve">: 산업단지와 같은 공장 집적지는 기업들이 상호 협력하고 </w:t>
            </w:r>
            <w:r>
              <w:rPr>
                <w:shd w:val="clear"/>
              </w:rPr>
              <w:t xml:space="preserve">기술을 공유하며 인재를 유치하는 데 중요한 역할을 합니다. 한국에서 성공적으로 </w:t>
            </w:r>
            <w:r>
              <w:rPr>
                <w:shd w:val="clear"/>
              </w:rPr>
              <w:t xml:space="preserve">발생한 산업 집적지의 사례로는 홍릉 바이오 클러스터, 창원 국가산업단지, 여의도 </w:t>
            </w:r>
            <w:r>
              <w:rPr>
                <w:shd w:val="clear"/>
              </w:rPr>
              <w:t xml:space="preserve">증권가 등이 있습니다. 이러한 집적지는 시너지 효과를 극대화하여 기업의 </w:t>
            </w:r>
            <w:r>
              <w:rPr>
                <w:shd w:val="clear"/>
              </w:rPr>
              <w:t xml:space="preserve">경쟁력을 높이고 생산성을 향상시킬 수 있는 최적의 환경을 제공합니다.</w:t>
            </w:r>
          </w:p>
          <w:p>
            <w:pPr>
              <w:pStyle w:val="PO166"/>
              <w:numPr>
                <w:numId w:val="54"/>
                <w:ilvl w:val="0"/>
              </w:numPr>
              <w:spacing w:before="240" w:beforeAutospacing="0"/>
              <w:rPr>
                <w:rStyle w:val="PO20"/>
                <w:shd w:val="clear"/>
              </w:rPr>
            </w:pPr>
            <w:r>
              <w:rPr>
                <w:rStyle w:val="PO20"/>
                <w:shd w:val="clear"/>
              </w:rPr>
              <w:t xml:space="preserve">부지 선택의 복잡성 해결: </w:t>
            </w:r>
            <w:r>
              <w:rPr>
                <w:rStyle w:val="PO20"/>
                <w:b w:val="0"/>
                <w:shd w:val="clear"/>
              </w:rPr>
              <w:t xml:space="preserve">공장 부지 선택은 다양한 요소를 고려해야 하는 복잡한 </w:t>
            </w:r>
            <w:r>
              <w:rPr>
                <w:rStyle w:val="PO20"/>
                <w:b w:val="0"/>
                <w:shd w:val="clear"/>
              </w:rPr>
              <w:t xml:space="preserve">과정입니다. 본 프로젝트는 이러한 복잡성을 줄이고 기업들이 최적의 부지를 </w:t>
            </w:r>
            <w:r>
              <w:rPr>
                <w:rStyle w:val="PO20"/>
                <w:b w:val="0"/>
                <w:shd w:val="clear"/>
              </w:rPr>
              <w:t xml:space="preserve">선택할 수 있도록 돕기 위해 빅데이터 분석을 활용한 공장 부지 추천 모델을 </w:t>
            </w:r>
            <w:r>
              <w:rPr>
                <w:rStyle w:val="PO20"/>
                <w:b w:val="0"/>
                <w:shd w:val="clear"/>
              </w:rPr>
              <w:t xml:space="preserve">개발하였습니다. 이를 통해 기업들은 보다 정확한 의사 결정을 내릴 수 있으며, </w:t>
            </w:r>
            <w:r>
              <w:rPr>
                <w:rStyle w:val="PO20"/>
                <w:b w:val="0"/>
                <w:shd w:val="clear"/>
              </w:rPr>
              <w:t xml:space="preserve">이는 기업의 성공과 직결됩니다.</w:t>
            </w:r>
          </w:p>
          <w:p>
            <w:pPr>
              <w:pStyle w:val="PO166"/>
              <w:numPr>
                <w:numId w:val="54"/>
                <w:ilvl w:val="0"/>
              </w:numPr>
              <w:spacing w:before="240" w:beforeAutospacing="0"/>
              <w:rPr>
                <w:rStyle w:val="PO20"/>
                <w:b w:val="0"/>
                <w:shd w:val="clear"/>
              </w:rPr>
            </w:pPr>
            <w:r>
              <w:rPr>
                <w:rStyle w:val="PO20"/>
                <w:shd w:val="clear"/>
              </w:rPr>
              <w:t xml:space="preserve">모델 개발 및 성능 분석: </w:t>
            </w:r>
            <w:r>
              <w:rPr>
                <w:rStyle w:val="PO20"/>
                <w:b w:val="0"/>
                <w:shd w:val="clear"/>
              </w:rPr>
              <w:t xml:space="preserve">LightGBM 모델이 안정적이고 높은 정확도를 나타내는 </w:t>
            </w:r>
            <w:r>
              <w:rPr>
                <w:rStyle w:val="PO20"/>
                <w:b w:val="0"/>
                <w:shd w:val="clear"/>
              </w:rPr>
              <w:t xml:space="preserve">것으로 밝혀졌습니다. 최적의 하이퍼파라미터를 찾기 위해 Optuna를 사용했으며, </w:t>
            </w:r>
            <w:r>
              <w:rPr>
                <w:rStyle w:val="PO20"/>
                <w:b w:val="0"/>
                <w:shd w:val="clear"/>
              </w:rPr>
              <w:t xml:space="preserve">Cross-Validation을 통해 모델의 안정성과 정확도를 더욱 향상시켰습니다. 각 </w:t>
            </w:r>
            <w:r>
              <w:rPr>
                <w:rStyle w:val="PO20"/>
                <w:b w:val="0"/>
                <w:shd w:val="clear"/>
              </w:rPr>
              <w:t xml:space="preserve">지역별로 최적화된 모델을 적용한 결과, 서울특별시에서는 0.7의 정확도를 </w:t>
            </w:r>
            <w:r>
              <w:rPr>
                <w:rStyle w:val="PO20"/>
                <w:b w:val="0"/>
                <w:shd w:val="clear"/>
              </w:rPr>
              <w:t xml:space="preserve">기록했습니다. 공장 부지 추천 모델은 다양한 요인을 고려해야 하므로, 정답이 </w:t>
            </w:r>
            <w:r>
              <w:rPr>
                <w:rStyle w:val="PO20"/>
                <w:b w:val="0"/>
                <w:shd w:val="clear"/>
              </w:rPr>
              <w:t xml:space="preserve">존재하지 않습니다. 사용자 맞춤형 추천을 위해 대표업종, 면적, 종업원 수 등을 </w:t>
            </w:r>
            <w:r>
              <w:rPr>
                <w:rStyle w:val="PO20"/>
                <w:b w:val="0"/>
                <w:shd w:val="clear"/>
                <w:rFonts w:hint="eastAsia"/>
              </w:rPr>
              <w:t>고려했습니다</w:t>
            </w:r>
            <w:r>
              <w:rPr>
                <w:rStyle w:val="PO20"/>
                <w:b w:val="0"/>
                <w:shd w:val="clear"/>
              </w:rPr>
              <w:t>.</w:t>
            </w:r>
          </w:p>
          <w:p>
            <w:pPr>
              <w:pStyle w:val="PO166"/>
              <w:numPr>
                <w:numId w:val="54"/>
                <w:ilvl w:val="0"/>
              </w:numPr>
              <w:spacing w:before="240" w:beforeAutospacing="0"/>
              <w:rPr>
                <w:rStyle w:val="PO20"/>
                <w:b w:val="0"/>
                <w:shd w:val="clear"/>
              </w:rPr>
            </w:pPr>
            <w:r>
              <w:rPr>
                <w:rStyle w:val="PO20"/>
                <w:shd w:val="clear"/>
              </w:rPr>
              <w:t xml:space="preserve">전국 부지 추천 모델: </w:t>
            </w:r>
            <w:r>
              <w:rPr>
                <w:rStyle w:val="PO20"/>
                <w:b w:val="0"/>
                <w:shd w:val="clear"/>
                <w:rFonts w:hint="eastAsia"/>
              </w:rPr>
              <w:t>서울특별시를</w:t>
            </w:r>
            <w:r>
              <w:rPr>
                <w:rStyle w:val="PO20"/>
                <w:b w:val="0"/>
                <w:shd w:val="clear"/>
              </w:rPr>
              <w:t xml:space="preserve"> 포함한 전국 17개 지역에 대해 공장 부지 </w:t>
            </w:r>
            <w:r>
              <w:rPr>
                <w:rStyle w:val="PO20"/>
                <w:b w:val="0"/>
                <w:shd w:val="clear"/>
              </w:rPr>
              <w:t xml:space="preserve">추천 모델을 생성하였습니다. 각 지역별 데이터를 분석하고 모델을 최적화한 결과, </w:t>
            </w:r>
            <w:r>
              <w:rPr>
                <w:rStyle w:val="PO20"/>
                <w:b w:val="0"/>
                <w:shd w:val="clear"/>
              </w:rPr>
              <w:t xml:space="preserve">일부 지역에서 상대적으로 낮은 정확도가 나타났습니다. 이는 해당 지역들의 산업 </w:t>
            </w:r>
            <w:r>
              <w:rPr>
                <w:rStyle w:val="PO20"/>
                <w:b w:val="0"/>
                <w:shd w:val="clear"/>
              </w:rPr>
              <w:t xml:space="preserve">활동이 균일하지 않거나 데이터의 양이 부족했기 때문입니다. 그러나 이를 통해 </w:t>
            </w:r>
            <w:r>
              <w:rPr>
                <w:rStyle w:val="PO20"/>
                <w:b w:val="0"/>
                <w:shd w:val="clear"/>
              </w:rPr>
              <w:t xml:space="preserve">지역별 산업적 특성을 반영한 맞춤형 부지 추천이 가능해졌습니다.</w:t>
            </w:r>
          </w:p>
          <w:p>
            <w:pPr>
              <w:pStyle w:val="PO166"/>
              <w:numPr>
                <w:numId w:val="54"/>
                <w:ilvl w:val="0"/>
              </w:numPr>
              <w:spacing w:before="240" w:beforeAutospacing="0"/>
              <w:rPr>
                <w:rStyle w:val="PO20"/>
                <w:b w:val="0"/>
                <w:shd w:val="clear"/>
              </w:rPr>
            </w:pPr>
            <w:r>
              <w:rPr>
                <w:rStyle w:val="PO20"/>
                <w:shd w:val="clear"/>
              </w:rPr>
              <w:t xml:space="preserve">공장 부지 매물 데이터 수집: </w:t>
            </w:r>
            <w:r>
              <w:rPr>
                <w:rStyle w:val="PO20"/>
                <w:b w:val="0"/>
                <w:shd w:val="clear"/>
              </w:rPr>
              <w:t xml:space="preserve">공장 통 닷컴과 부동산 119에서 공장 매물 데이터를 </w:t>
            </w:r>
            <w:r>
              <w:rPr>
                <w:rStyle w:val="PO20"/>
                <w:b w:val="0"/>
                <w:shd w:val="clear"/>
              </w:rPr>
              <w:t xml:space="preserve">수집하여 모델에 활용하였습니다. 수집된 매물 데이터는 공장 부지 추천 모델에 </w:t>
            </w:r>
            <w:r>
              <w:rPr>
                <w:rStyle w:val="PO20"/>
                <w:b w:val="0"/>
                <w:shd w:val="clear"/>
              </w:rPr>
              <w:t xml:space="preserve">입력되어 사용자에게 최적의 공장 부지를 추천하는 데 사용됩니다.</w:t>
            </w:r>
          </w:p>
          <w:p>
            <w:pPr>
              <w:pStyle w:val="PO166"/>
              <w:numPr>
                <w:numId w:val="54"/>
                <w:ilvl w:val="0"/>
              </w:numPr>
              <w:spacing w:before="240" w:beforeAutospacing="0"/>
              <w:rPr>
                <w:rStyle w:val="PO20"/>
                <w:shd w:val="clear"/>
              </w:rPr>
            </w:pPr>
            <w:r>
              <w:rPr>
                <w:rStyle w:val="PO20"/>
                <w:shd w:val="clear"/>
              </w:rPr>
              <w:t xml:space="preserve">업종 코드 기반 GPT 4.0 API 활용: </w:t>
            </w:r>
            <w:r>
              <w:rPr>
                <w:rStyle w:val="PO20"/>
                <w:b w:val="0"/>
                <w:shd w:val="clear"/>
              </w:rPr>
              <w:t xml:space="preserve">사용자가 특정 업종 코드를 입력하면 해당 </w:t>
            </w:r>
            <w:r>
              <w:rPr>
                <w:rStyle w:val="PO20"/>
                <w:b w:val="0"/>
                <w:shd w:val="clear"/>
              </w:rPr>
              <w:t xml:space="preserve">업종의 장점, 단점, 전망에 대한 정보를 제공하는 기능을 추가하였습니다. 이를 </w:t>
            </w:r>
            <w:r>
              <w:rPr>
                <w:rStyle w:val="PO20"/>
                <w:b w:val="0"/>
                <w:shd w:val="clear"/>
              </w:rPr>
              <w:t xml:space="preserve">통해 사용자는 자신이 선택한 업종에 대한 깊은 이해를 얻을 수 있습니다.</w:t>
            </w:r>
          </w:p>
          <w:p>
            <w:pPr>
              <w:pStyle w:val="PO166"/>
              <w:numPr>
                <w:numId w:val="54"/>
                <w:ilvl w:val="0"/>
              </w:numPr>
              <w:spacing w:before="240" w:beforeAutospacing="0"/>
              <w:rPr>
                <w:rStyle w:val="PO20"/>
                <w:b w:val="0"/>
                <w:shd w:val="clear"/>
              </w:rPr>
            </w:pPr>
            <w:r>
              <w:rPr>
                <w:rStyle w:val="PO20"/>
                <w:shd w:val="clear"/>
              </w:rPr>
              <w:t xml:space="preserve">중소벤처 지역 특화 산업 데이터 활용: </w:t>
            </w:r>
            <w:r>
              <w:rPr>
                <w:rStyle w:val="PO20"/>
                <w:b w:val="0"/>
                <w:shd w:val="clear"/>
              </w:rPr>
              <w:t xml:space="preserve">중소벤처 지역 특화 데이터를 활용하여 각 </w:t>
            </w:r>
            <w:r>
              <w:rPr>
                <w:rStyle w:val="PO20"/>
                <w:b w:val="0"/>
                <w:shd w:val="clear"/>
              </w:rPr>
              <w:t xml:space="preserve">지역의 주력 산업 정보를 사용자에게 제공함으로써, 적합한 산업에 맞는 최적의 </w:t>
            </w:r>
            <w:r>
              <w:rPr>
                <w:rStyle w:val="PO20"/>
                <w:b w:val="0"/>
                <w:shd w:val="clear"/>
              </w:rPr>
              <w:t xml:space="preserve">공장 부지를 선택할 수 있도록 지원합니다.</w:t>
            </w:r>
          </w:p>
          <w:p>
            <w:pPr>
              <w:pStyle w:val="PO166"/>
              <w:numPr>
                <w:numId w:val="54"/>
                <w:ilvl w:val="0"/>
              </w:numPr>
              <w:spacing w:before="240" w:beforeAutospacing="0"/>
              <w:rPr>
                <w:rStyle w:val="PO20"/>
                <w:b w:val="0"/>
                <w:shd w:val="clear"/>
              </w:rPr>
            </w:pPr>
            <w:r>
              <w:rPr>
                <w:rStyle w:val="PO20"/>
                <w:shd w:val="clear"/>
              </w:rPr>
              <w:t xml:space="preserve">추천 시스템: </w:t>
            </w:r>
            <w:r>
              <w:rPr>
                <w:rStyle w:val="PO20"/>
                <w:b w:val="0"/>
                <w:shd w:val="clear"/>
              </w:rPr>
              <w:t xml:space="preserve">최종적으로 사용자에게 최적의 공장 부지를 추천하기 위해 지역 </w:t>
            </w:r>
            <w:r>
              <w:rPr>
                <w:rStyle w:val="PO20"/>
                <w:b w:val="0"/>
                <w:shd w:val="clear"/>
              </w:rPr>
              <w:t xml:space="preserve">선택, 사용자 정보 수집, 중소벤처 지역 특화 데이터 제공, 대표업종 설명 제공, </w:t>
            </w:r>
            <w:r>
              <w:rPr>
                <w:rStyle w:val="PO20"/>
                <w:b w:val="0"/>
                <w:shd w:val="clear"/>
              </w:rPr>
              <w:t xml:space="preserve">매물 추천 등의 절차를 통해 사용자에게 종합적이고 유익한 정보를 제공합니다.</w:t>
            </w:r>
          </w:p>
          <w:p>
            <w:pPr>
              <w:pStyle w:val="PO166"/>
              <w:rPr>
                <w:shd w:val="clear"/>
              </w:rPr>
            </w:pPr>
            <w:r>
              <w:rPr>
                <w:shd w:val="clear"/>
              </w:rPr>
              <w:t xml:space="preserve">결론적으로, 본 프로젝트에서 개발한 공장 부지 추천 모델은 다양한 데이터를 분석하여 </w:t>
            </w:r>
            <w:r>
              <w:rPr>
                <w:shd w:val="clear"/>
              </w:rPr>
              <w:t xml:space="preserve">기업들이 최적의 부지를 선택할 수 있도록 돕습니다. 이를 통해 기업들은 경쟁력을 </w:t>
            </w:r>
            <w:r>
              <w:rPr>
                <w:shd w:val="clear"/>
              </w:rPr>
              <w:t xml:space="preserve">강화하고, 생산성을 높이며, 장기적인 성공을 이룰 수 있을 것입니다.</w:t>
            </w:r>
          </w:p>
          <w:p>
            <w:pPr>
              <w:spacing w:before="100" w:beforeAutospacing="1" w:after="100" w:afterAutospacing="1"/>
              <w:ind w:left="1440" w:firstLine="0"/>
              <w:rPr>
                <w:sz w:val="24"/>
                <w:szCs w:val="24"/>
                <w:shd w:val="clear"/>
                <w:rFonts w:ascii="굴림" w:eastAsia="굴림" w:hAnsi="굴림" w:cs="굴림"/>
              </w:rPr>
              <w:wordWrap w:val="1"/>
              <w:widowControl w:val="1"/>
              <w:autoSpaceDE w:val="1"/>
              <w:autoSpaceDN w:val="1"/>
            </w:pPr>
          </w:p>
        </w:tc>
      </w:tr>
    </w:tbl>
    <w:p>
      <w:pPr>
        <w:jc w:val="both"/>
        <w:spacing w:lineRule="auto" w:line="348" w:after="0"/>
        <w:rPr>
          <w:b w:val="1"/>
          <w:color w:val="000000"/>
          <w:sz w:val="16"/>
          <w:szCs w:val="16"/>
          <w:shd w:val="clear"/>
          <w:rFonts w:cs="굴림" w:asciiTheme="majorHAnsi" w:eastAsiaTheme="majorHAnsi" w:hAnsiTheme="majorHAnsi"/>
        </w:rPr>
        <w:wordWrap w:val="1"/>
        <w:widowControl w:val="1"/>
        <w:autoSpaceDE w:val="1"/>
        <w:autoSpaceDN w:val="1"/>
      </w:pPr>
    </w:p>
    <w:p>
      <w:pPr>
        <w:jc w:val="both"/>
        <w:spacing w:lineRule="auto" w:line="348" w:after="0"/>
        <w:rPr>
          <w:sz w:val="24"/>
          <w:szCs w:val="24"/>
          <w:shd w:val="clear"/>
          <w:rFonts w:cs="굴림" w:asciiTheme="majorHAnsi" w:eastAsiaTheme="majorHAnsi" w:hAnsiTheme="majorHAnsi"/>
        </w:rPr>
        <w:wordWrap w:val="1"/>
        <w:widowControl w:val="1"/>
        <w:autoSpaceDE w:val="1"/>
        <w:autoSpaceDN w:val="1"/>
      </w:pPr>
      <w:r>
        <w:rPr>
          <w:b w:val="1"/>
          <w:color w:val="000000"/>
          <w:sz w:val="32"/>
          <w:szCs w:val="32"/>
          <w:shd w:val="clear"/>
          <w:rFonts w:cs="굴림" w:asciiTheme="majorHAnsi" w:eastAsiaTheme="majorHAnsi" w:hAnsiTheme="majorHAnsi" w:hint="eastAsia"/>
        </w:rPr>
        <w:t> </w:t>
      </w:r>
      <w:r>
        <w:rPr>
          <w:b w:val="1"/>
          <w:color w:val="000000"/>
          <w:sz w:val="32"/>
          <w:szCs w:val="32"/>
          <w:shd w:val="clear"/>
          <w:rFonts w:cs="굴림" w:asciiTheme="majorHAnsi" w:eastAsiaTheme="majorHAnsi" w:hAnsiTheme="majorHAnsi"/>
        </w:rPr>
        <w:t>활용데이터</w:t>
      </w:r>
    </w:p>
    <w:tbl>
      <w:tblID w:val="0"/>
      <w:tblPr>
        <w:tblCellMar>
          <w:left w:w="84" w:type="dxa"/>
          <w:top w:w="84" w:type="dxa"/>
          <w:right w:w="84" w:type="dxa"/>
          <w:bottom w:w="84" w:type="dxa"/>
        </w:tblCellMar>
        <w:tblW w:w="9525" w:type="dxa"/>
        <w:tblInd w:w="57" w:type="dxa"/>
        <w:tblLook w:val="0004A0" w:firstRow="1" w:lastRow="0" w:firstColumn="1" w:lastColumn="0" w:noHBand="0" w:noVBand="1"/>
        <w:tblLayout w:type="fixed"/>
      </w:tblPr>
      <w:tblGrid>
        <w:gridCol w:w="9525"/>
      </w:tblGrid>
      <w:tr>
        <w:trPr/>
        <w:tc>
          <w:tcPr>
            <w:tcW w:type="dxa" w:w="952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0"/>
              <w:rPr>
                <w:shd w:val="clear"/>
              </w:rPr>
            </w:pPr>
            <w:r>
              <w:rPr>
                <w:color w:val="000000"/>
                <w:shd w:val="clear"/>
                <w:rFonts w:cs="굴림" w:eastAsiaTheme="majorHAnsi" w:hint="eastAsia"/>
              </w:rPr>
              <w:t> [</w:t>
            </w:r>
            <w:r>
              <w:rPr>
                <w:shd w:val="clear"/>
              </w:rPr>
              <w:t xml:space="preserve">제공 데이터</w:t>
            </w:r>
            <w:r>
              <w:rPr>
                <w:shd w:val="clear"/>
                <w:rFonts w:hint="eastAsia"/>
              </w:rPr>
              <w:t>]</w:t>
            </w:r>
          </w:p>
          <w:p>
            <w:pPr>
              <w:pStyle w:val="PO166"/>
              <w:numPr>
                <w:numId w:val="55"/>
                <w:ilvl w:val="0"/>
              </w:numPr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공장등록 필지 정보 조회 서비스(API)</w:t>
            </w:r>
          </w:p>
          <w:p>
            <w:pPr>
              <w:numPr>
                <w:numId w:val="55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  <w:rFonts w:hint="eastAsia"/>
              </w:rPr>
              <w:t xml:space="preserve">데이터 </w:t>
            </w:r>
            <w:r>
              <w:rPr>
                <w:rStyle w:val="PO20"/>
                <w:shd w:val="clear"/>
              </w:rPr>
              <w:t>설명</w:t>
            </w:r>
            <w:r>
              <w:rPr>
                <w:shd w:val="clear"/>
              </w:rPr>
              <w:t xml:space="preserve">: 공장 등록 필지 정보 조회 서비스를 통해 전국 공장등록 현황 </w:t>
            </w:r>
            <w:r>
              <w:rPr>
                <w:shd w:val="clear"/>
                <w:rFonts w:hint="eastAsia"/>
              </w:rPr>
              <w:t xml:space="preserve">데이터의 </w:t>
            </w:r>
            <w:r>
              <w:rPr>
                <w:shd w:val="clear"/>
              </w:rPr>
              <w:t xml:space="preserve">빈 값이 존재할 경우 추가적인 데이터를 얻어 보완하였습니다.</w:t>
            </w:r>
          </w:p>
          <w:p>
            <w:pPr>
              <w:numPr>
                <w:numId w:val="55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활용 이유</w:t>
            </w:r>
            <w:r>
              <w:rPr>
                <w:shd w:val="clear"/>
              </w:rPr>
              <w:t xml:space="preserve">: 공장 등록 데이터의 완전성을 확보하고, 분석의 정확도를 높이기 </w:t>
            </w:r>
            <w:r>
              <w:rPr>
                <w:shd w:val="clear"/>
              </w:rPr>
              <w:t xml:space="preserve">위해 사용되었습니다.</w:t>
            </w:r>
          </w:p>
          <w:p>
            <w:pPr>
              <w:pStyle w:val="PO166"/>
              <w:numPr>
                <w:numId w:val="55"/>
                <w:ilvl w:val="0"/>
              </w:numPr>
              <w:spacing w:before="240" w:beforeAutospacing="0"/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공장 등록 생산 정보 조회 서비스(API)</w:t>
            </w:r>
          </w:p>
          <w:p>
            <w:pPr>
              <w:numPr>
                <w:numId w:val="55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  <w:rFonts w:hint="eastAsia"/>
              </w:rPr>
              <w:t xml:space="preserve">데이터 </w:t>
            </w:r>
            <w:r>
              <w:rPr>
                <w:rStyle w:val="PO20"/>
                <w:shd w:val="clear"/>
              </w:rPr>
              <w:t>설명</w:t>
            </w:r>
            <w:r>
              <w:rPr>
                <w:shd w:val="clear"/>
              </w:rPr>
              <w:t xml:space="preserve">: 공장 등록 필지 정보 조회 서비스를 통해 전국 공장등록 현황 </w:t>
            </w:r>
            <w:r>
              <w:rPr>
                <w:shd w:val="clear"/>
                <w:rFonts w:hint="eastAsia"/>
              </w:rPr>
              <w:t xml:space="preserve">데이터의 </w:t>
            </w:r>
            <w:r>
              <w:rPr>
                <w:shd w:val="clear"/>
              </w:rPr>
              <w:t xml:space="preserve">빈 값이 존재할 경우 추가적인 데이터를 얻어 보완하였습니다.</w:t>
            </w:r>
          </w:p>
          <w:p>
            <w:pPr>
              <w:numPr>
                <w:numId w:val="55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활용 이유</w:t>
            </w:r>
            <w:r>
              <w:rPr>
                <w:shd w:val="clear"/>
              </w:rPr>
              <w:t xml:space="preserve">: 공장 등록 데이터의 완전성을 확보하고, 분석의 정확도를 높이기 </w:t>
            </w:r>
            <w:r>
              <w:rPr>
                <w:shd w:val="clear"/>
              </w:rPr>
              <w:t xml:space="preserve">위해 사용되었습니다.</w:t>
            </w:r>
          </w:p>
          <w:p>
            <w:pPr>
              <w:pStyle w:val="PO10"/>
              <w:rPr>
                <w:shd w:val="clear"/>
              </w:rPr>
            </w:pPr>
            <w:r>
              <w:rPr>
                <w:shd w:val="clear"/>
                <w:rFonts w:hint="eastAsia"/>
              </w:rPr>
              <w:t>[</w:t>
            </w:r>
            <w:r>
              <w:rPr>
                <w:shd w:val="clear"/>
              </w:rPr>
              <w:t xml:space="preserve">외부 데이터</w:t>
            </w:r>
            <w:r>
              <w:rPr>
                <w:shd w:val="clear"/>
                <w:rFonts w:hint="eastAsia"/>
              </w:rPr>
              <w:t>]</w:t>
            </w:r>
          </w:p>
          <w:p>
            <w:pPr>
              <w:pStyle w:val="PO166"/>
              <w:numPr>
                <w:numId w:val="56"/>
                <w:ilvl w:val="0"/>
              </w:numPr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전국 공장등록현황 데이터</w:t>
            </w:r>
            <w:r>
              <w:rPr>
                <w:rStyle w:val="PO20"/>
                <w:shd w:val="clear"/>
                <w:rFonts w:hint="eastAsia"/>
              </w:rPr>
              <w:t xml:space="preserve"> </w:t>
            </w:r>
            <w:r>
              <w:rPr>
                <w:rStyle w:val="PO20"/>
                <w:b w:val="0"/>
                <w:sz w:val="16"/>
                <w:szCs w:val="16"/>
                <w:shd w:val="clear"/>
                <w:rFonts w:hint="eastAsia"/>
              </w:rPr>
              <w:t>(</w:t>
            </w:r>
            <w:r>
              <w:rPr>
                <w:rStyle w:val="PO20"/>
                <w:b w:val="0"/>
                <w:sz w:val="16"/>
                <w:szCs w:val="16"/>
                <w:shd w:val="clear"/>
              </w:rPr>
              <w:t>https://www.data.go.kr/data/3041646/fileData.do</w:t>
            </w:r>
            <w:r>
              <w:rPr>
                <w:rStyle w:val="PO20"/>
                <w:b w:val="0"/>
                <w:sz w:val="16"/>
                <w:szCs w:val="16"/>
                <w:shd w:val="clear"/>
                <w:rFonts w:hint="eastAsia"/>
              </w:rPr>
              <w:t>)</w:t>
            </w:r>
          </w:p>
          <w:p>
            <w:pPr>
              <w:numPr>
                <w:numId w:val="56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설명</w:t>
            </w:r>
            <w:r>
              <w:rPr>
                <w:shd w:val="clear"/>
              </w:rPr>
              <w:t xml:space="preserve">: 한국산업단지공단에서 제공하는 전국 공장등록현황 데이터를 </w:t>
            </w:r>
            <w:r>
              <w:rPr>
                <w:shd w:val="clear"/>
              </w:rPr>
              <w:t xml:space="preserve">사용하였습니다. 이 데이터는 공장의 위치, 대표업종, 직원 수, 생산품, 시설 </w:t>
            </w:r>
            <w:r>
              <w:rPr>
                <w:shd w:val="clear"/>
              </w:rPr>
              <w:t xml:space="preserve">면적 등의 다양한 정보를 포함합니다.</w:t>
            </w:r>
          </w:p>
          <w:p>
            <w:pPr>
              <w:numPr>
                <w:numId w:val="56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활용 이유</w:t>
            </w:r>
            <w:r>
              <w:rPr>
                <w:shd w:val="clear"/>
              </w:rPr>
              <w:t xml:space="preserve">: 공장 부지 추천 모델을 개발하기 위해 필수적인 정보로, 공장들의 </w:t>
            </w:r>
            <w:r>
              <w:rPr>
                <w:shd w:val="clear"/>
              </w:rPr>
              <w:t xml:space="preserve">입지와 관련된 다양한 변수를 포함하고 있어 최적의 부지를 추천하는 데 </w:t>
            </w:r>
            <w:r>
              <w:rPr>
                <w:shd w:val="clear"/>
              </w:rPr>
              <w:t xml:space="preserve">중요한 역할을 합니다.</w:t>
            </w:r>
          </w:p>
          <w:p>
            <w:pPr>
              <w:pStyle w:val="PO166"/>
              <w:numPr>
                <w:numId w:val="56"/>
                <w:ilvl w:val="0"/>
              </w:numPr>
              <w:spacing w:before="240" w:beforeAutospacing="0"/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중소벤처 지역 특화 산업 데이터</w:t>
            </w:r>
            <w:r>
              <w:rPr>
                <w:rStyle w:val="PO20"/>
                <w:shd w:val="clear"/>
                <w:rFonts w:hint="eastAsia"/>
              </w:rPr>
              <w:t xml:space="preserve"> </w:t>
            </w:r>
            <w:r>
              <w:rPr>
                <w:rStyle w:val="PO20"/>
                <w:b w:val="0"/>
                <w:sz w:val="16"/>
                <w:szCs w:val="16"/>
                <w:shd w:val="clear"/>
                <w:rFonts w:hint="eastAsia"/>
              </w:rPr>
              <w:t>(</w:t>
            </w:r>
            <w:r>
              <w:rPr>
                <w:rStyle w:val="PO20"/>
                <w:b w:val="0"/>
                <w:sz w:val="16"/>
                <w:szCs w:val="16"/>
                <w:shd w:val="clear"/>
              </w:rPr>
              <w:t>https://www.data.go.kr/data/15069529/fileData.do</w:t>
            </w:r>
            <w:r>
              <w:rPr>
                <w:rStyle w:val="PO20"/>
                <w:b w:val="0"/>
                <w:sz w:val="16"/>
                <w:szCs w:val="16"/>
                <w:shd w:val="clear"/>
                <w:rFonts w:hint="eastAsia"/>
              </w:rPr>
              <w:t>)</w:t>
            </w:r>
          </w:p>
          <w:p>
            <w:pPr>
              <w:numPr>
                <w:numId w:val="56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설명</w:t>
            </w:r>
            <w:r>
              <w:rPr>
                <w:shd w:val="clear"/>
              </w:rPr>
              <w:t xml:space="preserve">: 중소벤처 지역 특화 데이터를 활용하여 각 지역의 주력 산업 정보를 </w:t>
            </w:r>
            <w:r>
              <w:rPr>
                <w:shd w:val="clear"/>
              </w:rPr>
              <w:t xml:space="preserve">분석하였습니다. 이 데이터는 각 지역별로 주력 산업군을 포함하고 있습니다.</w:t>
            </w:r>
          </w:p>
          <w:p>
            <w:pPr>
              <w:numPr>
                <w:numId w:val="56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활용 이유</w:t>
            </w:r>
            <w:r>
              <w:rPr>
                <w:shd w:val="clear"/>
              </w:rPr>
              <w:t xml:space="preserve">: 특정 지역의 산업 특성을 고려하여 기업들이 최적의 공장 부지를 </w:t>
            </w:r>
            <w:r>
              <w:rPr>
                <w:shd w:val="clear"/>
              </w:rPr>
              <w:t xml:space="preserve">선택할 수 있도록 지원하기 위해 사용되었습니다. 이는 지역별 특화 산업에 </w:t>
            </w:r>
            <w:r>
              <w:rPr>
                <w:shd w:val="clear"/>
              </w:rPr>
              <w:t xml:space="preserve">맞춘 공장 부지 추천에 큰 도움이 됩니다.</w:t>
            </w:r>
          </w:p>
          <w:p>
            <w:pPr>
              <w:pStyle w:val="PO166"/>
              <w:numPr>
                <w:numId w:val="56"/>
                <w:ilvl w:val="0"/>
              </w:numPr>
              <w:spacing w:before="240" w:beforeAutospacing="0"/>
              <w:rPr>
                <w:shd w:val="clear"/>
              </w:rPr>
            </w:pPr>
            <w:r>
              <w:rPr>
                <w:rStyle w:val="PO20"/>
                <w:shd w:val="clear"/>
              </w:rPr>
              <w:t>한국표준산업분류표</w:t>
            </w:r>
          </w:p>
          <w:p>
            <w:pPr>
              <w:numPr>
                <w:numId w:val="56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>설명</w:t>
            </w:r>
            <w:r>
              <w:rPr>
                <w:shd w:val="clear"/>
              </w:rPr>
              <w:t xml:space="preserve">: 한국표준산업분류표를 참조하여 업종 코드를 분석하고, 각 업종에 대한 </w:t>
            </w:r>
            <w:r>
              <w:rPr>
                <w:shd w:val="clear"/>
              </w:rPr>
              <w:t xml:space="preserve">상세 정보를 제공하였습니다.</w:t>
            </w:r>
          </w:p>
          <w:p>
            <w:pPr>
              <w:numPr>
                <w:numId w:val="56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활용 이유</w:t>
            </w:r>
            <w:r>
              <w:rPr>
                <w:shd w:val="clear"/>
              </w:rPr>
              <w:t xml:space="preserve">: 업종별 특성과 필요 요건을 정확히 이해하고, 기업들이 자신에게 </w:t>
            </w:r>
            <w:r>
              <w:rPr>
                <w:shd w:val="clear"/>
              </w:rPr>
              <w:t xml:space="preserve">맞는 부지를 선택할 수 있도록 지원하기 위해 사용되었습니다. 이를 통해 </w:t>
            </w:r>
            <w:r>
              <w:rPr>
                <w:shd w:val="clear"/>
              </w:rPr>
              <w:t xml:space="preserve">업종별로 최적의 부지 추천이 가능합니다.</w:t>
            </w:r>
          </w:p>
          <w:p>
            <w:pPr>
              <w:pStyle w:val="PO9"/>
              <w:rPr>
                <w:shd w:val="clear"/>
              </w:rPr>
            </w:pPr>
            <w:r>
              <w:rPr>
                <w:shd w:val="clear"/>
              </w:rPr>
              <w:t xml:space="preserve">데이터 활용 이유</w:t>
            </w:r>
          </w:p>
          <w:p>
            <w:pPr>
              <w:pStyle w:val="PO166"/>
              <w:numPr>
                <w:numId w:val="58"/>
                <w:ilvl w:val="0"/>
              </w:numPr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데이터 완전성 및 정확도 확보</w:t>
            </w:r>
          </w:p>
          <w:p>
            <w:pPr>
              <w:pStyle w:val="PO26"/>
              <w:numPr>
                <w:numId w:val="8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다양한 출처의 데이터를 통합하고 빈 값을 보완하여, 공장 부지 추천 모델의 </w:t>
            </w:r>
            <w:r>
              <w:rPr>
                <w:shd w:val="clear"/>
              </w:rPr>
              <w:t xml:space="preserve">정확도를 높였습니다.</w:t>
            </w:r>
          </w:p>
          <w:p>
            <w:pPr>
              <w:pStyle w:val="PO166"/>
              <w:numPr>
                <w:numId w:val="58"/>
                <w:ilvl w:val="0"/>
              </w:numPr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지역별 특화 산업 분석</w:t>
            </w:r>
          </w:p>
          <w:p>
            <w:pPr>
              <w:pStyle w:val="PO26"/>
              <w:numPr>
                <w:numId w:val="8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중소벤처 지역 특화 데이터를 활용하여 각 지역의 산업 특성을 파악하고, 이를 </w:t>
            </w:r>
            <w:r>
              <w:rPr>
                <w:shd w:val="clear"/>
              </w:rPr>
              <w:t xml:space="preserve">기반으로 기업들이 최적의 부지를 선택할 수 있도록 지원합니다.</w:t>
            </w:r>
          </w:p>
          <w:p>
            <w:pPr>
              <w:pStyle w:val="PO166"/>
              <w:numPr>
                <w:numId w:val="58"/>
                <w:ilvl w:val="0"/>
              </w:numPr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업종별 맞춤 추천</w:t>
            </w:r>
          </w:p>
          <w:p>
            <w:pPr>
              <w:pStyle w:val="PO26"/>
              <w:numPr>
                <w:numId w:val="8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한국표준산업분류표를 활용하여 업종별 특성과 필요 요건을 정확히 분석하고, </w:t>
            </w:r>
            <w:r>
              <w:rPr>
                <w:shd w:val="clear"/>
              </w:rPr>
              <w:t xml:space="preserve">기업들이 자신에게 맞는 부지를 선택할 수 있도록 돕습니다.</w:t>
            </w:r>
          </w:p>
          <w:p>
            <w:pPr>
              <w:pStyle w:val="PO166"/>
              <w:numPr>
                <w:numId w:val="58"/>
                <w:ilvl w:val="0"/>
              </w:numPr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종합적 데이터 분석</w:t>
            </w:r>
          </w:p>
          <w:p>
            <w:pPr>
              <w:pStyle w:val="PO26"/>
              <w:numPr>
                <w:numId w:val="8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</w:rPr>
              <w:t xml:space="preserve">공장 등록 현황, 필지 정보, 생산 정보 등을 종합적으로 분석하여 기업들이 </w:t>
            </w:r>
            <w:r>
              <w:rPr>
                <w:shd w:val="clear"/>
              </w:rPr>
              <w:t xml:space="preserve">최적의 부지를 선택할 수 있도록 지원합니다.</w:t>
            </w:r>
          </w:p>
        </w:tc>
      </w:tr>
    </w:tbl>
    <w:p>
      <w:pPr>
        <w:jc w:val="both"/>
        <w:spacing w:lineRule="auto" w:line="348" w:after="0"/>
        <w:rPr>
          <w:b w:val="1"/>
          <w:color w:val="000000"/>
          <w:sz w:val="16"/>
          <w:szCs w:val="16"/>
          <w:shd w:val="clear"/>
          <w:rFonts w:cs="굴림" w:asciiTheme="majorHAnsi" w:eastAsiaTheme="majorHAnsi" w:hAnsiTheme="majorHAnsi"/>
        </w:rPr>
        <w:wordWrap w:val="1"/>
        <w:widowControl w:val="1"/>
        <w:autoSpaceDE w:val="1"/>
        <w:autoSpaceDN w:val="1"/>
      </w:pPr>
    </w:p>
    <w:p>
      <w:pPr>
        <w:jc w:val="both"/>
        <w:spacing w:lineRule="auto" w:line="348" w:after="0"/>
        <w:rPr>
          <w:sz w:val="24"/>
          <w:szCs w:val="24"/>
          <w:shd w:val="clear"/>
          <w:rFonts w:cs="굴림" w:asciiTheme="majorHAnsi" w:eastAsiaTheme="majorHAnsi" w:hAnsiTheme="majorHAnsi"/>
        </w:rPr>
        <w:wordWrap w:val="1"/>
        <w:widowControl w:val="1"/>
        <w:autoSpaceDE w:val="1"/>
        <w:autoSpaceDN w:val="1"/>
      </w:pPr>
      <w:r>
        <w:rPr>
          <w:color w:val="000000"/>
          <w:sz w:val="32"/>
          <w:szCs w:val="32"/>
          <w:shd w:val="clear"/>
          <w:rFonts w:cs="굴림" w:asciiTheme="majorHAnsi" w:eastAsiaTheme="majorHAnsi" w:hAnsiTheme="majorHAnsi" w:hint="eastAsia"/>
        </w:rPr>
        <w:t> </w:t>
      </w:r>
      <w:r>
        <w:rPr>
          <w:b w:val="1"/>
          <w:color w:val="000000"/>
          <w:sz w:val="32"/>
          <w:szCs w:val="32"/>
          <w:shd w:val="clear"/>
          <w:rFonts w:cs="굴림" w:asciiTheme="majorHAnsi" w:eastAsiaTheme="majorHAnsi" w:hAnsiTheme="majorHAnsi"/>
        </w:rPr>
        <w:t xml:space="preserve">사업화방안 및 기대효과</w:t>
      </w:r>
    </w:p>
    <w:tbl>
      <w:tblID w:val="0"/>
      <w:tblPr>
        <w:tblCellMar>
          <w:left w:w="84" w:type="dxa"/>
          <w:top w:w="84" w:type="dxa"/>
          <w:right w:w="84" w:type="dxa"/>
          <w:bottom w:w="84" w:type="dxa"/>
        </w:tblCellMar>
        <w:tblW w:w="9525" w:type="dxa"/>
        <w:tblInd w:w="57" w:type="dxa"/>
        <w:tblLook w:val="0004A0" w:firstRow="1" w:lastRow="0" w:firstColumn="1" w:lastColumn="0" w:noHBand="0" w:noVBand="1"/>
        <w:tblLayout w:type="fixed"/>
      </w:tblPr>
      <w:tblGrid>
        <w:gridCol w:w="9525"/>
      </w:tblGrid>
      <w:tr>
        <w:trPr/>
        <w:tc>
          <w:tcPr>
            <w:tcW w:type="dxa" w:w="952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0"/>
              <w:rPr>
                <w:shd w:val="clear"/>
              </w:rPr>
            </w:pPr>
            <w:r>
              <w:rPr>
                <w:color w:val="000000"/>
                <w:shd w:val="clear"/>
                <w:rFonts w:cs="굴림" w:eastAsiaTheme="majorHAnsi" w:hint="eastAsia"/>
              </w:rPr>
              <w:t> </w:t>
            </w:r>
            <w:r>
              <w:rPr>
                <w:shd w:val="clear"/>
              </w:rPr>
              <w:t xml:space="preserve">1. 사업화 방안</w:t>
            </w:r>
          </w:p>
          <w:p>
            <w:pPr>
              <w:pStyle w:val="PO166"/>
              <w:numPr>
                <w:numId w:val="59"/>
                <w:ilvl w:val="0"/>
              </w:numPr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플랫폼 개발 및 운영</w:t>
            </w:r>
          </w:p>
          <w:p>
            <w:pPr>
              <w:numPr>
                <w:numId w:val="5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플랫폼 구축</w:t>
            </w:r>
            <w:r>
              <w:rPr>
                <w:shd w:val="clear"/>
              </w:rPr>
              <w:t xml:space="preserve">: 공장 부지 추천 서비스를 제공하는 웹/모바일 플랫폼을 </w:t>
            </w:r>
            <w:r>
              <w:rPr>
                <w:shd w:val="clear"/>
              </w:rPr>
              <w:t xml:space="preserve">개발합니다. 사용자 친화적인 인터페이스를 통해 </w:t>
            </w:r>
            <w:r>
              <w:rPr>
                <w:shd w:val="clear"/>
                <w:rFonts w:hint="eastAsia"/>
              </w:rPr>
              <w:t>사용자</w:t>
            </w:r>
            <w:r>
              <w:rPr>
                <w:shd w:val="clear"/>
              </w:rPr>
              <w:t xml:space="preserve">들이 쉽게 접근하고 </w:t>
            </w:r>
            <w:r>
              <w:rPr>
                <w:shd w:val="clear"/>
              </w:rPr>
              <w:t xml:space="preserve">사용할 수 있도록 합니다.</w:t>
            </w:r>
          </w:p>
          <w:p>
            <w:pPr>
              <w:numPr>
                <w:numId w:val="5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데이터 통합</w:t>
            </w:r>
            <w:r>
              <w:rPr>
                <w:shd w:val="clear"/>
              </w:rPr>
              <w:t xml:space="preserve">: 공장등록 필지 정보 조회 서비스, 공장 등록 생산 정보 조회 </w:t>
            </w:r>
            <w:r>
              <w:rPr>
                <w:shd w:val="clear"/>
              </w:rPr>
              <w:t xml:space="preserve">서비스, 전국 공장등록현황 데이터, 중소벤처 지역 특화 산업 데이터, </w:t>
            </w:r>
            <w:r>
              <w:rPr>
                <w:shd w:val="clear"/>
              </w:rPr>
              <w:t xml:space="preserve">한국표준산업분류표 등 다양한 데이터 소스를 통합하여 플랫폼에 반영합니다.</w:t>
            </w:r>
          </w:p>
          <w:p>
            <w:pPr>
              <w:numPr>
                <w:numId w:val="5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실시간 업데이트</w:t>
            </w:r>
            <w:r>
              <w:rPr>
                <w:shd w:val="clear"/>
              </w:rPr>
              <w:t xml:space="preserve">: 공장 매물 데이터와 관련 정보를 실시간으로 업데이트하여 </w:t>
            </w:r>
            <w:r>
              <w:rPr>
                <w:shd w:val="clear"/>
              </w:rPr>
              <w:t xml:space="preserve">최신 정보를 제공합니다.</w:t>
            </w:r>
          </w:p>
          <w:p>
            <w:pPr>
              <w:numPr>
                <w:numId w:val="5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사용자 맞춤 추천</w:t>
            </w:r>
            <w:r>
              <w:rPr>
                <w:shd w:val="clear"/>
              </w:rPr>
              <w:t xml:space="preserve">: 사용자 입력 데이터를 기반으로 맞춤형 공장 부지 추천을 </w:t>
            </w:r>
            <w:r>
              <w:rPr>
                <w:shd w:val="clear"/>
              </w:rPr>
              <w:t xml:space="preserve">제공하는 알고리즘을 개발합니다.</w:t>
            </w:r>
          </w:p>
          <w:p>
            <w:pPr>
              <w:pStyle w:val="PO166"/>
              <w:numPr>
                <w:numId w:val="59"/>
                <w:ilvl w:val="0"/>
              </w:numPr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마케팅 및 홍보</w:t>
            </w:r>
          </w:p>
          <w:p>
            <w:pPr>
              <w:numPr>
                <w:numId w:val="5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디지털 마케팅</w:t>
            </w:r>
            <w:r>
              <w:rPr>
                <w:shd w:val="clear"/>
              </w:rPr>
              <w:t xml:space="preserve">: 검색 엔진 최적화(SEO), 소셜 미디어 광고, 콘텐츠 마케팅 </w:t>
            </w:r>
            <w:r>
              <w:rPr>
                <w:shd w:val="clear"/>
              </w:rPr>
              <w:t xml:space="preserve">등을 통해 플랫폼을 홍보하고 사용자 유입을 촉진합니다.</w:t>
            </w:r>
          </w:p>
          <w:p>
            <w:pPr>
              <w:numPr>
                <w:numId w:val="5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산업 박람회 및 세미나</w:t>
            </w:r>
            <w:r>
              <w:rPr>
                <w:shd w:val="clear"/>
              </w:rPr>
              <w:t xml:space="preserve">: 산업 관련 박람회, 세미나, 컨퍼런스 등에 참여하여 </w:t>
            </w:r>
            <w:r>
              <w:rPr>
                <w:shd w:val="clear"/>
              </w:rPr>
              <w:t xml:space="preserve">플랫폼을 홍보하고 잠재 고객을 확보합니다.</w:t>
            </w:r>
          </w:p>
          <w:p>
            <w:pPr>
              <w:numPr>
                <w:numId w:val="5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파트너십 구축</w:t>
            </w:r>
            <w:r>
              <w:rPr>
                <w:shd w:val="clear"/>
              </w:rPr>
              <w:t xml:space="preserve">: 부동산 중개업체, 산업 단지 관리 기관, 중소벤처기업부 </w:t>
            </w:r>
            <w:r>
              <w:rPr>
                <w:shd w:val="clear"/>
              </w:rPr>
              <w:t xml:space="preserve">등과의 파트너십을 통해 플랫폼의 신뢰성과 접근성을 높입니다.</w:t>
            </w:r>
          </w:p>
          <w:p>
            <w:pPr>
              <w:pStyle w:val="PO166"/>
              <w:numPr>
                <w:numId w:val="59"/>
                <w:ilvl w:val="0"/>
              </w:numPr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고객 지원 및 서비스 개선</w:t>
            </w:r>
          </w:p>
          <w:p>
            <w:pPr>
              <w:numPr>
                <w:numId w:val="5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고객 지원 센터</w:t>
            </w:r>
            <w:r>
              <w:rPr>
                <w:shd w:val="clear"/>
              </w:rPr>
              <w:t xml:space="preserve">: 사용자의 문의와 피드백을 처리할 수 있는 고객 지원 센터를 </w:t>
            </w:r>
            <w:r>
              <w:rPr>
                <w:shd w:val="clear"/>
              </w:rPr>
              <w:t>운영합니다.</w:t>
            </w:r>
          </w:p>
          <w:p>
            <w:pPr>
              <w:numPr>
                <w:numId w:val="5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데이터 분석 및 피드백 반영</w:t>
            </w:r>
            <w:r>
              <w:rPr>
                <w:shd w:val="clear"/>
              </w:rPr>
              <w:t xml:space="preserve">: 사용자의 피드백을 분석하여 플랫폼을 </w:t>
            </w:r>
            <w:r>
              <w:rPr>
                <w:shd w:val="clear"/>
              </w:rPr>
              <w:t xml:space="preserve">지속적으로 개선합니다.</w:t>
            </w:r>
          </w:p>
          <w:p>
            <w:pPr>
              <w:numPr>
                <w:numId w:val="59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교육 및 컨설팅 서비스</w:t>
            </w:r>
            <w:r>
              <w:rPr>
                <w:shd w:val="clear"/>
              </w:rPr>
              <w:t xml:space="preserve">: 공장 부지 선택과 관련된 교육 및 컨설팅 서비스를 </w:t>
            </w:r>
            <w:r>
              <w:rPr>
                <w:shd w:val="clear"/>
              </w:rPr>
              <w:t xml:space="preserve">제공하여 사용자가 최적의 결정을 내릴 수 있도록 지원합니다.</w:t>
            </w:r>
          </w:p>
          <w:p>
            <w:pPr>
              <w:pStyle w:val="PO10"/>
              <w:rPr>
                <w:shd w:val="clear"/>
              </w:rPr>
            </w:pPr>
            <w:r>
              <w:rPr>
                <w:shd w:val="clear"/>
              </w:rPr>
              <w:t xml:space="preserve">2. 기대효과</w:t>
            </w:r>
          </w:p>
          <w:p>
            <w:pPr>
              <w:pStyle w:val="PO166"/>
              <w:numPr>
                <w:numId w:val="60"/>
                <w:ilvl w:val="0"/>
              </w:numPr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경제적 파급 효과</w:t>
            </w:r>
          </w:p>
          <w:p>
            <w:pPr>
              <w:numPr>
                <w:numId w:val="6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산업 경쟁력 강화</w:t>
            </w:r>
            <w:r>
              <w:rPr>
                <w:shd w:val="clear"/>
              </w:rPr>
              <w:t xml:space="preserve">: 최적의 공장 부지 추천을 통해 기업들이 효율적인 운영을 </w:t>
            </w:r>
            <w:r>
              <w:rPr>
                <w:shd w:val="clear"/>
              </w:rPr>
              <w:t xml:space="preserve">할 수 있게 도와줍니다. 이는 생산성 향상과 비용 절감으로 이어져 기업의 </w:t>
            </w:r>
            <w:r>
              <w:rPr>
                <w:shd w:val="clear"/>
              </w:rPr>
              <w:t xml:space="preserve">경쟁력을 강화합니다.</w:t>
            </w:r>
          </w:p>
          <w:p>
            <w:pPr>
              <w:numPr>
                <w:numId w:val="6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중소기업 지원</w:t>
            </w:r>
            <w:r>
              <w:rPr>
                <w:shd w:val="clear"/>
              </w:rPr>
              <w:t xml:space="preserve">: 중소기업들이 적합한 부지를 선택하여 성공적으로 사업을 </w:t>
            </w:r>
            <w:r>
              <w:rPr>
                <w:shd w:val="clear"/>
              </w:rPr>
              <w:t xml:space="preserve">운영할 수 있도록 도와줍니다. 이는 중소기업의 성장과 고용 창출로 이어져 </w:t>
            </w:r>
            <w:r>
              <w:rPr>
                <w:shd w:val="clear"/>
              </w:rPr>
              <w:t xml:space="preserve">지역 경제에 긍정적인 영향을 미칩니다.</w:t>
            </w:r>
          </w:p>
          <w:p>
            <w:pPr>
              <w:numPr>
                <w:numId w:val="6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부동산 시장 활성화</w:t>
            </w:r>
            <w:r>
              <w:rPr>
                <w:shd w:val="clear"/>
              </w:rPr>
              <w:t xml:space="preserve">: 공장 부지 매매 및 임대가 활발해지면서 부동산 시장의 </w:t>
            </w:r>
            <w:r>
              <w:rPr>
                <w:shd w:val="clear"/>
              </w:rPr>
              <w:t xml:space="preserve">활성화에 기여할 수 있습니다.</w:t>
            </w:r>
          </w:p>
          <w:p>
            <w:pPr>
              <w:pStyle w:val="PO166"/>
              <w:numPr>
                <w:numId w:val="60"/>
                <w:ilvl w:val="0"/>
              </w:numPr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사회적 파급 효과</w:t>
            </w:r>
          </w:p>
          <w:p>
            <w:pPr>
              <w:numPr>
                <w:numId w:val="6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지역 균형 발전</w:t>
            </w:r>
            <w:r>
              <w:rPr>
                <w:shd w:val="clear"/>
              </w:rPr>
              <w:t xml:space="preserve">: 중소벤처 지역 특화 데이터를 활용하여 각 지역의 산업 </w:t>
            </w:r>
            <w:r>
              <w:rPr>
                <w:shd w:val="clear"/>
              </w:rPr>
              <w:t xml:space="preserve">특성을 고려함으로써 지역 균형 발전을 촉진할 수 있습니다. 이는 지역 간 </w:t>
            </w:r>
            <w:r>
              <w:rPr>
                <w:shd w:val="clear"/>
              </w:rPr>
              <w:t xml:space="preserve">경제 격차를 줄이는 데 기여합니다.</w:t>
            </w:r>
          </w:p>
          <w:p>
            <w:pPr>
              <w:numPr>
                <w:numId w:val="6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환경적 지속 가능성</w:t>
            </w:r>
            <w:r>
              <w:rPr>
                <w:shd w:val="clear"/>
              </w:rPr>
              <w:t xml:space="preserve">: 최적의 부지 선택을 통해 교통, 물류, 에너지 사용 등을 </w:t>
            </w:r>
            <w:r>
              <w:rPr>
                <w:shd w:val="clear"/>
              </w:rPr>
              <w:t xml:space="preserve">최적화하여 환경적인 영향을 최소화할 수 있습니다. 이는 지속 가능한 산업 </w:t>
            </w:r>
            <w:r>
              <w:rPr>
                <w:shd w:val="clear"/>
              </w:rPr>
              <w:t xml:space="preserve">발전에 기여합니다.</w:t>
            </w:r>
          </w:p>
          <w:p>
            <w:pPr>
              <w:numPr>
                <w:numId w:val="6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일자리 창출</w:t>
            </w:r>
            <w:r>
              <w:rPr>
                <w:shd w:val="clear"/>
              </w:rPr>
              <w:t xml:space="preserve">: 공장 설립과 운영을 통한 일자리 창출로 지역 사회의 고용 </w:t>
            </w:r>
            <w:r>
              <w:rPr>
                <w:shd w:val="clear"/>
              </w:rPr>
              <w:t xml:space="preserve">안정성과 생활 수준 향상에 기여할 수 있습니다.</w:t>
            </w:r>
          </w:p>
          <w:p>
            <w:pPr>
              <w:pStyle w:val="PO166"/>
              <w:numPr>
                <w:numId w:val="60"/>
                <w:ilvl w:val="0"/>
              </w:numPr>
              <w:rPr>
                <w:shd w:val="clear"/>
              </w:rPr>
            </w:pPr>
            <w:r>
              <w:rPr>
                <w:rStyle w:val="PO20"/>
                <w:shd w:val="clear"/>
              </w:rPr>
              <w:t xml:space="preserve">데이터 기반 의사 결정 문화 확산</w:t>
            </w:r>
          </w:p>
          <w:p>
            <w:pPr>
              <w:numPr>
                <w:numId w:val="6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근거 기반 의사 결정</w:t>
            </w:r>
            <w:r>
              <w:rPr>
                <w:shd w:val="clear"/>
              </w:rPr>
              <w:t xml:space="preserve">: 데이터에 기반한 의사 결정 문화의 확산을 촉진하여 </w:t>
            </w:r>
            <w:r>
              <w:rPr>
                <w:shd w:val="clear"/>
              </w:rPr>
              <w:t xml:space="preserve">기업들이 보다 신뢰성 있는 정보를 바탕으로 전략을 수립하고 실행할 수 </w:t>
            </w:r>
            <w:r>
              <w:rPr>
                <w:shd w:val="clear"/>
              </w:rPr>
              <w:t xml:space="preserve">있도록 지원합니다.</w:t>
            </w:r>
          </w:p>
          <w:p>
            <w:pPr>
              <w:numPr>
                <w:numId w:val="60"/>
                <w:ilvl w:val="1"/>
              </w:numPr>
              <w:spacing w:before="100" w:beforeAutospacing="1" w:after="100" w:afterAutospacing="1"/>
              <w:rPr>
                <w:shd w:val="clear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시간 및 비용 절감</w:t>
            </w:r>
            <w:r>
              <w:rPr>
                <w:shd w:val="clear"/>
              </w:rPr>
              <w:t xml:space="preserve">: 기업들이 지역을 선정하는 데 소요되는 시간과 비용을 </w:t>
            </w:r>
            <w:r>
              <w:rPr>
                <w:shd w:val="clear"/>
              </w:rPr>
              <w:t xml:space="preserve">절감할 수 있습니다. 이는 기업들이 빠르고 효율적으로 공장 부지를 선정하는 </w:t>
            </w:r>
            <w:r>
              <w:rPr>
                <w:shd w:val="clear"/>
              </w:rPr>
              <w:t xml:space="preserve">데 큰 도움을 줄 것입니다.</w:t>
            </w:r>
          </w:p>
          <w:p>
            <w:pPr>
              <w:numPr>
                <w:numId w:val="60"/>
                <w:ilvl w:val="1"/>
              </w:numPr>
              <w:spacing w:before="100" w:beforeAutospacing="1" w:after="100" w:afterAutospacing="1"/>
              <w:rPr>
                <w:sz w:val="24"/>
                <w:szCs w:val="24"/>
                <w:shd w:val="clear"/>
                <w:rFonts w:cs="굴림" w:asciiTheme="majorHAnsi" w:eastAsiaTheme="majorHAnsi" w:hAnsiTheme="majorHAnsi"/>
              </w:rPr>
              <w:wordWrap w:val="1"/>
              <w:widowControl w:val="1"/>
              <w:autoSpaceDE w:val="1"/>
              <w:autoSpaceDN w:val="1"/>
            </w:pPr>
            <w:r>
              <w:rPr>
                <w:rStyle w:val="PO20"/>
                <w:shd w:val="clear"/>
              </w:rPr>
              <w:t xml:space="preserve">복잡한 절차 간소화</w:t>
            </w:r>
            <w:r>
              <w:rPr>
                <w:shd w:val="clear"/>
              </w:rPr>
              <w:t xml:space="preserve">: 데이터 기반의 접근을 통해 복잡한 절차를 간소화하고, </w:t>
            </w:r>
            <w:r>
              <w:rPr>
                <w:shd w:val="clear"/>
              </w:rPr>
              <w:t xml:space="preserve">기업들이 지역 선정 과정에서 겪는 어려움을 줄일 수 있습니다.</w:t>
            </w:r>
          </w:p>
        </w:tc>
      </w:tr>
    </w:tbl>
    <w:p>
      <w:pPr>
        <w:pStyle w:val="PO1"/>
        <w:rPr>
          <w:rStyle w:val="PO1"/>
          <w:shd w:val="clear"/>
        </w:rPr>
      </w:pPr>
    </w:p>
    <w:sectPr>
      <w15:footnoteColumns w:val="1"/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휴먼명조">
    <w:altName w:val="￫ﾰﾔ￭ﾃﾕ"/>
    <w:panose1 w:val="00000000000000000000"/>
    <w:charset w:val="81"/>
    <w:family w:val="roman"/>
    <w:pitch w:val="default"/>
    <w:sig w:usb0="00000001" w:usb1="09060000" w:usb2="00000010" w:usb3="00000000" w:csb0="00080000" w:csb1="00000000"/>
  </w:font>
  <w:font w:name="HCI Poppy">
    <w:altName w:val="Cambria"/>
    <w:panose1 w:val="00000000000000000000"/>
    <w:charset w:val="0"/>
    <w:family w:val="roman"/>
    <w:pitch w:val="default"/>
    <w:sig w:usb0="00000000" w:usb1="00000000" w:usb2="00000000" w:usb3="00000000" w:csb0="00000000" w:csb1="00000000"/>
  </w:font>
  <w:font w:name="Cambria Math">
    <w:panose1 w:val="02040503050406030204"/>
    <w:charset w:val="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2">
    <w:multiLevelType w:val="hybridMultilevel"/>
    <w:nsid w:val="2F000002"/>
    <w:tmpl w:val="1F000C5F"/>
    <w:lvl w:ilvl="0">
      <w:lvlJc w:val="left"/>
      <w:numFmt w:val="decimalEnclosedCircle"/>
      <w:start w:val="1"/>
      <w:suff w:val="tab"/>
      <w:pPr>
        <w:ind w:left="880" w:hanging="440"/>
        <w:rPr/>
      </w:pPr>
      <w:rPr>
        <w:shd w:val="clear"/>
      </w:rPr>
      <w:lvlText w:val="%1"/>
    </w:lvl>
    <w:lvl w:ilvl="1">
      <w:lvlJc w:val="left"/>
      <w:numFmt w:val="upperLetter"/>
      <w:start w:val="1"/>
      <w:suff w:val="tab"/>
      <w:pPr>
        <w:ind w:left="1320" w:hanging="440"/>
        <w:rPr/>
      </w:pPr>
      <w:rPr>
        <w:shd w:val="clear"/>
      </w:rPr>
      <w:lvlText w:val="%2."/>
    </w:lvl>
    <w:lvl w:ilvl="2">
      <w:lvlJc w:val="right"/>
      <w:numFmt w:val="lowerRoman"/>
      <w:start w:val="1"/>
      <w:suff w:val="tab"/>
      <w:pPr>
        <w:ind w:left="1760" w:hanging="440"/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200" w:hanging="440"/>
        <w:rPr/>
      </w:pPr>
      <w:rPr>
        <w:shd w:val="clear"/>
      </w:rPr>
      <w:lvlText w:val="%4."/>
    </w:lvl>
    <w:lvl w:ilvl="4">
      <w:lvlJc w:val="left"/>
      <w:numFmt w:val="upperLetter"/>
      <w:start w:val="1"/>
      <w:suff w:val="tab"/>
      <w:pPr>
        <w:ind w:left="2640" w:hanging="440"/>
        <w:rPr/>
      </w:pPr>
      <w:rPr>
        <w:shd w:val="clear"/>
      </w:rPr>
      <w:lvlText w:val="%5."/>
    </w:lvl>
    <w:lvl w:ilvl="5">
      <w:lvlJc w:val="right"/>
      <w:numFmt w:val="lowerRoman"/>
      <w:start w:val="1"/>
      <w:suff w:val="tab"/>
      <w:pPr>
        <w:ind w:left="3080" w:hanging="440"/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3520" w:hanging="440"/>
        <w:rPr/>
      </w:pPr>
      <w:rPr>
        <w:shd w:val="clear"/>
      </w:rPr>
      <w:lvlText w:val="%7."/>
    </w:lvl>
    <w:lvl w:ilvl="7">
      <w:lvlJc w:val="left"/>
      <w:numFmt w:val="upperLetter"/>
      <w:start w:val="1"/>
      <w:suff w:val="tab"/>
      <w:pPr>
        <w:ind w:left="3960" w:hanging="440"/>
        <w:rPr/>
      </w:pPr>
      <w:rPr>
        <w:shd w:val="clear"/>
      </w:rPr>
      <w:lvlText w:val="%8."/>
    </w:lvl>
    <w:lvl w:ilvl="8">
      <w:lvlJc w:val="right"/>
      <w:numFmt w:val="lowerRoman"/>
      <w:start w:val="1"/>
      <w:suff w:val="tab"/>
      <w:pPr>
        <w:ind w:left="4400" w:hanging="440"/>
        <w:rPr/>
      </w:pPr>
      <w:rPr>
        <w:shd w:val="clear"/>
      </w:rPr>
      <w:lvlText w:val="%9."/>
    </w:lvl>
  </w:abstractNum>
  <w:abstractNum w:abstractNumId="3">
    <w:multiLevelType w:val="hybridMultilevel"/>
    <w:nsid w:val="2F000003"/>
    <w:tmpl w:val="1F0033C2"/>
    <w:lvl w:ilvl="0">
      <w:lvlJc w:val="left"/>
      <w:numFmt w:val="bullet"/>
      <w:suff w:val="tab"/>
      <w:pPr>
        <w:ind w:left="800" w:hanging="360"/>
        <w:rPr/>
      </w:pPr>
      <w:rPr>
        <w:shd w:val="clear"/>
        <w:rFonts w:ascii="맑은 고딕" w:eastAsia="맑은 고딕" w:hAnsi="맑은 고딕" w:cstheme="majorBidi" w:hint="eastAsia"/>
      </w:rPr>
      <w:lvlText w:val="-"/>
    </w:lvl>
    <w:lvl w:ilvl="1">
      <w:lvlJc w:val="left"/>
      <w:numFmt w:val="bullet"/>
      <w:start w:val="1"/>
      <w:suff w:val="tab"/>
      <w:pPr>
        <w:ind w:left="1320" w:hanging="440"/>
        <w:rPr/>
      </w:pPr>
      <w:rPr>
        <w:shd w:val="clear"/>
        <w:rFonts w:ascii="Wingdings" w:eastAsia="Wingdings" w:hAnsi="Wingdings" w:cs="Wingdings" w:hint="default"/>
      </w:rPr>
      <w:lvlText w:val="n"/>
    </w:lvl>
    <w:lvl w:ilvl="2">
      <w:lvlJc w:val="left"/>
      <w:numFmt w:val="bullet"/>
      <w:start w:val="1"/>
      <w:suff w:val="tab"/>
      <w:pPr>
        <w:ind w:left="1760" w:hanging="440"/>
        <w:rPr/>
      </w:pPr>
      <w:rPr>
        <w:shd w:val="clear"/>
        <w:rFonts w:ascii="Wingdings" w:eastAsia="Wingdings" w:hAnsi="Wingdings" w:cs="Wingdings" w:hint="default"/>
      </w:rPr>
      <w:lvlText w:val="u"/>
    </w:lvl>
    <w:lvl w:ilvl="3">
      <w:lvlJc w:val="left"/>
      <w:numFmt w:val="bullet"/>
      <w:start w:val="1"/>
      <w:suff w:val="tab"/>
      <w:pPr>
        <w:ind w:left="2200" w:hanging="440"/>
        <w:rPr/>
      </w:pPr>
      <w:rPr>
        <w:shd w:val="clear"/>
        <w:rFonts w:ascii="Wingdings" w:eastAsia="Wingdings" w:hAnsi="Wingdings" w:cs="Wingdings" w:hint="default"/>
      </w:rPr>
      <w:lvlText w:val="l"/>
    </w:lvl>
    <w:lvl w:ilvl="4">
      <w:lvlJc w:val="left"/>
      <w:numFmt w:val="bullet"/>
      <w:start w:val="1"/>
      <w:suff w:val="tab"/>
      <w:pPr>
        <w:ind w:left="2640" w:hanging="440"/>
        <w:rPr/>
      </w:pPr>
      <w:rPr>
        <w:shd w:val="clear"/>
        <w:rFonts w:ascii="Wingdings" w:eastAsia="Wingdings" w:hAnsi="Wingdings" w:cs="Wingdings" w:hint="default"/>
      </w:rPr>
      <w:lvlText w:val="n"/>
    </w:lvl>
    <w:lvl w:ilvl="5">
      <w:lvlJc w:val="left"/>
      <w:numFmt w:val="bullet"/>
      <w:start w:val="1"/>
      <w:suff w:val="tab"/>
      <w:pPr>
        <w:ind w:left="3080" w:hanging="440"/>
        <w:rPr/>
      </w:pPr>
      <w:rPr>
        <w:shd w:val="clear"/>
        <w:rFonts w:ascii="Wingdings" w:eastAsia="Wingdings" w:hAnsi="Wingdings" w:cs="Wingdings" w:hint="default"/>
      </w:rPr>
      <w:lvlText w:val="u"/>
    </w:lvl>
    <w:lvl w:ilvl="6">
      <w:lvlJc w:val="left"/>
      <w:numFmt w:val="bullet"/>
      <w:start w:val="1"/>
      <w:suff w:val="tab"/>
      <w:pPr>
        <w:ind w:left="3520" w:hanging="440"/>
        <w:rPr/>
      </w:pPr>
      <w:rPr>
        <w:shd w:val="clear"/>
        <w:rFonts w:ascii="Wingdings" w:eastAsia="Wingdings" w:hAnsi="Wingdings" w:cs="Wingdings" w:hint="default"/>
      </w:rPr>
      <w:lvlText w:val="l"/>
    </w:lvl>
    <w:lvl w:ilvl="7">
      <w:lvlJc w:val="left"/>
      <w:numFmt w:val="bullet"/>
      <w:start w:val="1"/>
      <w:suff w:val="tab"/>
      <w:pPr>
        <w:ind w:left="3960" w:hanging="440"/>
        <w:rPr/>
      </w:pPr>
      <w:rPr>
        <w:shd w:val="clear"/>
        <w:rFonts w:ascii="Wingdings" w:eastAsia="Wingdings" w:hAnsi="Wingdings" w:cs="Wingdings" w:hint="default"/>
      </w:rPr>
      <w:lvlText w:val="n"/>
    </w:lvl>
    <w:lvl w:ilvl="8">
      <w:lvlJc w:val="left"/>
      <w:numFmt w:val="bullet"/>
      <w:start w:val="1"/>
      <w:suff w:val="tab"/>
      <w:pPr>
        <w:ind w:left="4400" w:hanging="440"/>
        <w:rPr/>
      </w:pPr>
      <w:rPr>
        <w:shd w:val="clear"/>
        <w:rFonts w:ascii="Wingdings" w:eastAsia="Wingdings" w:hAnsi="Wingdings" w:cs="Wingdings" w:hint="default"/>
      </w:rPr>
      <w:lvlText w:val="u"/>
    </w:lvl>
  </w:abstractNum>
  <w:abstractNum w:abstractNumId="4">
    <w:multiLevelType w:val="hybridMultilevel"/>
    <w:nsid w:val="2F000004"/>
    <w:tmpl w:val="1F002570"/>
    <w:lvl w:ilvl="0">
      <w:lvlJc w:val="left"/>
      <w:numFmt w:val="decimalEnclosedCircle"/>
      <w:start w:val="1"/>
      <w:suff w:val="tab"/>
      <w:pPr>
        <w:ind w:left="880" w:hanging="440"/>
        <w:rPr/>
      </w:pPr>
      <w:rPr>
        <w:shd w:val="clear"/>
      </w:rPr>
      <w:lvlText w:val="%1"/>
    </w:lvl>
    <w:lvl w:ilvl="1">
      <w:lvlJc w:val="left"/>
      <w:numFmt w:val="upperLetter"/>
      <w:start w:val="1"/>
      <w:suff w:val="tab"/>
      <w:pPr>
        <w:ind w:left="1320" w:hanging="440"/>
        <w:rPr/>
      </w:pPr>
      <w:rPr>
        <w:shd w:val="clear"/>
      </w:rPr>
      <w:lvlText w:val="%2."/>
    </w:lvl>
    <w:lvl w:ilvl="2">
      <w:lvlJc w:val="right"/>
      <w:numFmt w:val="lowerRoman"/>
      <w:start w:val="1"/>
      <w:suff w:val="tab"/>
      <w:pPr>
        <w:ind w:left="1760" w:hanging="440"/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200" w:hanging="440"/>
        <w:rPr/>
      </w:pPr>
      <w:rPr>
        <w:shd w:val="clear"/>
      </w:rPr>
      <w:lvlText w:val="%4."/>
    </w:lvl>
    <w:lvl w:ilvl="4">
      <w:lvlJc w:val="left"/>
      <w:numFmt w:val="upperLetter"/>
      <w:start w:val="1"/>
      <w:suff w:val="tab"/>
      <w:pPr>
        <w:ind w:left="2640" w:hanging="440"/>
        <w:rPr/>
      </w:pPr>
      <w:rPr>
        <w:shd w:val="clear"/>
      </w:rPr>
      <w:lvlText w:val="%5."/>
    </w:lvl>
    <w:lvl w:ilvl="5">
      <w:lvlJc w:val="right"/>
      <w:numFmt w:val="lowerRoman"/>
      <w:start w:val="1"/>
      <w:suff w:val="tab"/>
      <w:pPr>
        <w:ind w:left="3080" w:hanging="440"/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3520" w:hanging="440"/>
        <w:rPr/>
      </w:pPr>
      <w:rPr>
        <w:shd w:val="clear"/>
      </w:rPr>
      <w:lvlText w:val="%7."/>
    </w:lvl>
    <w:lvl w:ilvl="7">
      <w:lvlJc w:val="left"/>
      <w:numFmt w:val="upperLetter"/>
      <w:start w:val="1"/>
      <w:suff w:val="tab"/>
      <w:pPr>
        <w:ind w:left="3960" w:hanging="440"/>
        <w:rPr/>
      </w:pPr>
      <w:rPr>
        <w:shd w:val="clear"/>
      </w:rPr>
      <w:lvlText w:val="%8."/>
    </w:lvl>
    <w:lvl w:ilvl="8">
      <w:lvlJc w:val="right"/>
      <w:numFmt w:val="lowerRoman"/>
      <w:start w:val="1"/>
      <w:suff w:val="tab"/>
      <w:pPr>
        <w:ind w:left="4400" w:hanging="440"/>
        <w:rPr/>
      </w:pPr>
      <w:rPr>
        <w:shd w:val="clear"/>
      </w:rPr>
      <w:lvlText w:val="%9."/>
    </w:lvl>
  </w:abstractNum>
  <w:abstractNum w:abstractNumId="5">
    <w:multiLevelType w:val="multilevel"/>
    <w:nsid w:val="2F000005"/>
    <w:tmpl w:val="1F001EB6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decimal"/>
      <w:start w:val="1"/>
      <w:suff w:val="tab"/>
      <w:pPr>
        <w:ind w:left="1440" w:hanging="360"/>
        <w:rPr/>
      </w:pPr>
      <w:rPr>
        <w:shd w:val="clear"/>
        <w:rFonts w:hint="default"/>
      </w:rPr>
      <w:lvlText w:val="%2.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6">
    <w:multiLevelType w:val="multilevel"/>
    <w:nsid w:val="2F000006"/>
    <w:tmpl w:val="1F00166B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2.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7">
    <w:multiLevelType w:val="hybridMultilevel"/>
    <w:nsid w:val="2F000007"/>
    <w:tmpl w:val="1F003957"/>
    <w:lvl w:ilvl="0">
      <w:lvlJc w:val="left"/>
      <w:numFmt w:val="decimalEnclosedCircle"/>
      <w:start w:val="1"/>
      <w:suff w:val="tab"/>
      <w:pPr>
        <w:ind w:left="800" w:hanging="360"/>
        <w:rPr/>
      </w:pPr>
      <w:rPr>
        <w:shd w:val="clear"/>
        <w:rFonts w:hint="eastAsia"/>
      </w:rPr>
      <w:lvlText w:val="%1"/>
    </w:lvl>
    <w:lvl w:ilvl="1">
      <w:lvlJc w:val="left"/>
      <w:numFmt w:val="upperLetter"/>
      <w:start w:val="1"/>
      <w:suff w:val="tab"/>
      <w:pPr>
        <w:ind w:left="1320" w:hanging="440"/>
        <w:rPr/>
      </w:pPr>
      <w:rPr>
        <w:shd w:val="clear"/>
      </w:rPr>
      <w:lvlText w:val="%2."/>
    </w:lvl>
    <w:lvl w:ilvl="2">
      <w:lvlJc w:val="right"/>
      <w:numFmt w:val="lowerRoman"/>
      <w:start w:val="1"/>
      <w:suff w:val="tab"/>
      <w:pPr>
        <w:ind w:left="1760" w:hanging="440"/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200" w:hanging="440"/>
        <w:rPr/>
      </w:pPr>
      <w:rPr>
        <w:shd w:val="clear"/>
      </w:rPr>
      <w:lvlText w:val="%4."/>
    </w:lvl>
    <w:lvl w:ilvl="4">
      <w:lvlJc w:val="left"/>
      <w:numFmt w:val="upperLetter"/>
      <w:start w:val="1"/>
      <w:suff w:val="tab"/>
      <w:pPr>
        <w:ind w:left="2640" w:hanging="440"/>
        <w:rPr/>
      </w:pPr>
      <w:rPr>
        <w:shd w:val="clear"/>
      </w:rPr>
      <w:lvlText w:val="%5."/>
    </w:lvl>
    <w:lvl w:ilvl="5">
      <w:lvlJc w:val="right"/>
      <w:numFmt w:val="lowerRoman"/>
      <w:start w:val="1"/>
      <w:suff w:val="tab"/>
      <w:pPr>
        <w:ind w:left="3080" w:hanging="440"/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3520" w:hanging="440"/>
        <w:rPr/>
      </w:pPr>
      <w:rPr>
        <w:shd w:val="clear"/>
      </w:rPr>
      <w:lvlText w:val="%7."/>
    </w:lvl>
    <w:lvl w:ilvl="7">
      <w:lvlJc w:val="left"/>
      <w:numFmt w:val="upperLetter"/>
      <w:start w:val="1"/>
      <w:suff w:val="tab"/>
      <w:pPr>
        <w:ind w:left="3960" w:hanging="440"/>
        <w:rPr/>
      </w:pPr>
      <w:rPr>
        <w:shd w:val="clear"/>
      </w:rPr>
      <w:lvlText w:val="%8."/>
    </w:lvl>
    <w:lvl w:ilvl="8">
      <w:lvlJc w:val="right"/>
      <w:numFmt w:val="lowerRoman"/>
      <w:start w:val="1"/>
      <w:suff w:val="tab"/>
      <w:pPr>
        <w:ind w:left="4400" w:hanging="440"/>
        <w:rPr/>
      </w:pPr>
      <w:rPr>
        <w:shd w:val="clear"/>
      </w:rPr>
      <w:lvlText w:val="%9."/>
    </w:lvl>
  </w:abstractNum>
  <w:abstractNum w:abstractNumId="8">
    <w:multiLevelType w:val="hybridMultilevel"/>
    <w:nsid w:val="2F000008"/>
    <w:tmpl w:val="1F0034A9"/>
    <w:lvl w:ilvl="0">
      <w:lvlJc w:val="left"/>
      <w:numFmt w:val="decimalEnclosedCircle"/>
      <w:start w:val="1"/>
      <w:suff w:val="tab"/>
      <w:pPr>
        <w:ind w:left="880" w:hanging="440"/>
        <w:rPr/>
      </w:pPr>
      <w:rPr>
        <w:shd w:val="clear"/>
      </w:rPr>
      <w:lvlText w:val="%1"/>
    </w:lvl>
    <w:lvl w:ilvl="1">
      <w:lvlJc w:val="left"/>
      <w:numFmt w:val="upperLetter"/>
      <w:start w:val="1"/>
      <w:suff w:val="tab"/>
      <w:pPr>
        <w:ind w:left="1320" w:hanging="440"/>
        <w:rPr/>
      </w:pPr>
      <w:rPr>
        <w:shd w:val="clear"/>
      </w:rPr>
      <w:lvlText w:val="%2."/>
    </w:lvl>
    <w:lvl w:ilvl="2">
      <w:lvlJc w:val="right"/>
      <w:numFmt w:val="lowerRoman"/>
      <w:start w:val="1"/>
      <w:suff w:val="tab"/>
      <w:pPr>
        <w:ind w:left="1760" w:hanging="440"/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200" w:hanging="440"/>
        <w:rPr/>
      </w:pPr>
      <w:rPr>
        <w:shd w:val="clear"/>
      </w:rPr>
      <w:lvlText w:val="%4."/>
    </w:lvl>
    <w:lvl w:ilvl="4">
      <w:lvlJc w:val="left"/>
      <w:numFmt w:val="upperLetter"/>
      <w:start w:val="1"/>
      <w:suff w:val="tab"/>
      <w:pPr>
        <w:ind w:left="2640" w:hanging="440"/>
        <w:rPr/>
      </w:pPr>
      <w:rPr>
        <w:shd w:val="clear"/>
      </w:rPr>
      <w:lvlText w:val="%5."/>
    </w:lvl>
    <w:lvl w:ilvl="5">
      <w:lvlJc w:val="right"/>
      <w:numFmt w:val="lowerRoman"/>
      <w:start w:val="1"/>
      <w:suff w:val="tab"/>
      <w:pPr>
        <w:ind w:left="3080" w:hanging="440"/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3520" w:hanging="440"/>
        <w:rPr/>
      </w:pPr>
      <w:rPr>
        <w:shd w:val="clear"/>
      </w:rPr>
      <w:lvlText w:val="%7."/>
    </w:lvl>
    <w:lvl w:ilvl="7">
      <w:lvlJc w:val="left"/>
      <w:numFmt w:val="upperLetter"/>
      <w:start w:val="1"/>
      <w:suff w:val="tab"/>
      <w:pPr>
        <w:ind w:left="3960" w:hanging="440"/>
        <w:rPr/>
      </w:pPr>
      <w:rPr>
        <w:shd w:val="clear"/>
      </w:rPr>
      <w:lvlText w:val="%8."/>
    </w:lvl>
    <w:lvl w:ilvl="8">
      <w:lvlJc w:val="right"/>
      <w:numFmt w:val="lowerRoman"/>
      <w:start w:val="1"/>
      <w:suff w:val="tab"/>
      <w:pPr>
        <w:ind w:left="4400" w:hanging="440"/>
        <w:rPr/>
      </w:pPr>
      <w:rPr>
        <w:shd w:val="clear"/>
      </w:rPr>
      <w:lvlText w:val="%9."/>
    </w:lvl>
  </w:abstractNum>
  <w:abstractNum w:abstractNumId="9">
    <w:multiLevelType w:val="hybridMultilevel"/>
    <w:nsid w:val="2F000009"/>
    <w:tmpl w:val="1F002FC8"/>
    <w:lvl w:ilvl="0">
      <w:lvlJc w:val="left"/>
      <w:numFmt w:val="bullet"/>
      <w:start w:val="1"/>
      <w:suff w:val="tab"/>
      <w:pPr>
        <w:ind w:left="1240" w:hanging="360"/>
        <w:tabs>
          <w:tab w:val="left" w:pos="124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960" w:hanging="360"/>
        <w:tabs>
          <w:tab w:val="left" w:pos="196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680" w:hanging="360"/>
        <w:tabs>
          <w:tab w:val="left" w:pos="26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3400" w:hanging="360"/>
        <w:tabs>
          <w:tab w:val="left" w:pos="34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4120" w:hanging="360"/>
        <w:tabs>
          <w:tab w:val="left" w:pos="41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840" w:hanging="360"/>
        <w:tabs>
          <w:tab w:val="left" w:pos="48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560" w:hanging="360"/>
        <w:tabs>
          <w:tab w:val="left" w:pos="55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6280" w:hanging="360"/>
        <w:tabs>
          <w:tab w:val="left" w:pos="62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7000" w:hanging="360"/>
        <w:tabs>
          <w:tab w:val="left" w:pos="70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10">
    <w:multiLevelType w:val="hybridMultilevel"/>
    <w:nsid w:val="2F00000A"/>
    <w:tmpl w:val="1F000B24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11">
    <w:multiLevelType w:val="hybridMultilevel"/>
    <w:nsid w:val="2F00000B"/>
    <w:tmpl w:val="1F0036F8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12">
    <w:multiLevelType w:val="multilevel"/>
    <w:nsid w:val="2F00000C"/>
    <w:tmpl w:val="1F002D78"/>
    <w:lvl w:ilvl="0">
      <w:lvlJc w:val="left"/>
      <w:numFmt w:val="decimal"/>
      <w:start w:val="1"/>
      <w:suff w:val="tab"/>
      <w:pPr>
        <w:ind w:left="1160" w:hanging="360"/>
        <w:tabs>
          <w:tab w:val="left" w:pos="116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880" w:hanging="360"/>
        <w:tabs>
          <w:tab w:val="left" w:pos="188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600" w:hanging="360"/>
        <w:tabs>
          <w:tab w:val="left" w:pos="260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3320" w:hanging="360"/>
        <w:tabs>
          <w:tab w:val="left" w:pos="332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4040" w:hanging="360"/>
        <w:tabs>
          <w:tab w:val="left" w:pos="404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760" w:hanging="360"/>
        <w:tabs>
          <w:tab w:val="left" w:pos="476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480" w:hanging="360"/>
        <w:tabs>
          <w:tab w:val="left" w:pos="548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6200" w:hanging="360"/>
        <w:tabs>
          <w:tab w:val="left" w:pos="620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920" w:hanging="360"/>
        <w:tabs>
          <w:tab w:val="left" w:pos="6920"/>
        </w:tabs>
        <w:rPr/>
      </w:pPr>
      <w:rPr>
        <w:shd w:val="clear"/>
      </w:rPr>
      <w:lvlText w:val="%9."/>
    </w:lvl>
  </w:abstractNum>
  <w:abstractNum w:abstractNumId="13">
    <w:multiLevelType w:val="hybridMultilevel"/>
    <w:nsid w:val="2F00000D"/>
    <w:tmpl w:val="1F0020DD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14">
    <w:multiLevelType w:val="multilevel"/>
    <w:nsid w:val="2F00000E"/>
    <w:tmpl w:val="1F001374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2.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15">
    <w:multiLevelType w:val="hybridMultilevel"/>
    <w:nsid w:val="2F00000F"/>
    <w:tmpl w:val="1F0000F5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16">
    <w:multiLevelType w:val="hybridMultilevel"/>
    <w:nsid w:val="2F000010"/>
    <w:tmpl w:val="1F0005D9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17">
    <w:multiLevelType w:val="hybridMultilevel"/>
    <w:nsid w:val="2F000011"/>
    <w:tmpl w:val="1F001753"/>
    <w:lvl w:ilvl="0">
      <w:lvlJc w:val="left"/>
      <w:numFmt w:val="decimalEnclosedCircle"/>
      <w:start w:val="1"/>
      <w:suff w:val="tab"/>
      <w:pPr>
        <w:ind w:left="360" w:hanging="360"/>
        <w:rPr/>
      </w:pPr>
      <w:rPr>
        <w:shd w:val="clear"/>
        <w:rFonts w:hint="eastAsia"/>
      </w:rPr>
      <w:lvlText w:val="%1"/>
    </w:lvl>
    <w:lvl w:ilvl="1">
      <w:lvlJc w:val="left"/>
      <w:numFmt w:val="decimalEnclosedCircle"/>
      <w:start w:val="1"/>
      <w:suff w:val="tab"/>
      <w:pPr>
        <w:ind w:left="880" w:hanging="440"/>
        <w:rPr/>
      </w:pPr>
      <w:rPr>
        <w:shd w:val="clear"/>
      </w:rPr>
      <w:lvlText w:val="%2"/>
    </w:lvl>
    <w:lvl w:ilvl="2">
      <w:lvlJc w:val="right"/>
      <w:numFmt w:val="lowerRoman"/>
      <w:start w:val="1"/>
      <w:suff w:val="tab"/>
      <w:pPr>
        <w:ind w:left="1320" w:hanging="440"/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1760" w:hanging="440"/>
        <w:rPr/>
      </w:pPr>
      <w:rPr>
        <w:shd w:val="clear"/>
      </w:rPr>
      <w:lvlText w:val="%4."/>
    </w:lvl>
    <w:lvl w:ilvl="4">
      <w:lvlJc w:val="left"/>
      <w:numFmt w:val="upperLetter"/>
      <w:start w:val="1"/>
      <w:suff w:val="tab"/>
      <w:pPr>
        <w:ind w:left="2200" w:hanging="440"/>
        <w:rPr/>
      </w:pPr>
      <w:rPr>
        <w:shd w:val="clear"/>
      </w:rPr>
      <w:lvlText w:val="%5."/>
    </w:lvl>
    <w:lvl w:ilvl="5">
      <w:lvlJc w:val="right"/>
      <w:numFmt w:val="lowerRoman"/>
      <w:start w:val="1"/>
      <w:suff w:val="tab"/>
      <w:pPr>
        <w:ind w:left="2640" w:hanging="440"/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3080" w:hanging="440"/>
        <w:rPr/>
      </w:pPr>
      <w:rPr>
        <w:shd w:val="clear"/>
      </w:rPr>
      <w:lvlText w:val="%7."/>
    </w:lvl>
    <w:lvl w:ilvl="7">
      <w:lvlJc w:val="left"/>
      <w:numFmt w:val="upperLetter"/>
      <w:start w:val="1"/>
      <w:suff w:val="tab"/>
      <w:pPr>
        <w:ind w:left="3520" w:hanging="440"/>
        <w:rPr/>
      </w:pPr>
      <w:rPr>
        <w:shd w:val="clear"/>
      </w:rPr>
      <w:lvlText w:val="%8."/>
    </w:lvl>
    <w:lvl w:ilvl="8">
      <w:lvlJc w:val="right"/>
      <w:numFmt w:val="lowerRoman"/>
      <w:start w:val="1"/>
      <w:suff w:val="tab"/>
      <w:pPr>
        <w:ind w:left="3960" w:hanging="440"/>
        <w:rPr/>
      </w:pPr>
      <w:rPr>
        <w:shd w:val="clear"/>
      </w:rPr>
      <w:lvlText w:val="%9."/>
    </w:lvl>
  </w:abstractNum>
  <w:abstractNum w:abstractNumId="18">
    <w:multiLevelType w:val="hybridMultilevel"/>
    <w:nsid w:val="2F000012"/>
    <w:tmpl w:val="1F00096D"/>
    <w:lvl w:ilvl="0">
      <w:lvlJc w:val="left"/>
      <w:numFmt w:val="decimalEnclosedCircle"/>
      <w:start w:val="1"/>
      <w:suff w:val="tab"/>
      <w:pPr>
        <w:ind w:left="1320" w:hanging="440"/>
        <w:rPr/>
      </w:pPr>
      <w:rPr>
        <w:shd w:val="clear"/>
      </w:rPr>
      <w:lvlText w:val="%1"/>
    </w:lvl>
    <w:lvl w:ilvl="1">
      <w:lvlJc w:val="left"/>
      <w:numFmt w:val="upperLetter"/>
      <w:start w:val="1"/>
      <w:suff w:val="tab"/>
      <w:pPr>
        <w:ind w:left="1760" w:hanging="440"/>
        <w:rPr/>
      </w:pPr>
      <w:rPr>
        <w:shd w:val="clear"/>
      </w:rPr>
      <w:lvlText w:val="%2."/>
    </w:lvl>
    <w:lvl w:ilvl="2">
      <w:lvlJc w:val="right"/>
      <w:numFmt w:val="lowerRoman"/>
      <w:start w:val="1"/>
      <w:suff w:val="tab"/>
      <w:pPr>
        <w:ind w:left="2200" w:hanging="440"/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640" w:hanging="440"/>
        <w:rPr/>
      </w:pPr>
      <w:rPr>
        <w:shd w:val="clear"/>
      </w:rPr>
      <w:lvlText w:val="%4."/>
    </w:lvl>
    <w:lvl w:ilvl="4">
      <w:lvlJc w:val="left"/>
      <w:numFmt w:val="upperLetter"/>
      <w:start w:val="1"/>
      <w:suff w:val="tab"/>
      <w:pPr>
        <w:ind w:left="3080" w:hanging="440"/>
        <w:rPr/>
      </w:pPr>
      <w:rPr>
        <w:shd w:val="clear"/>
      </w:rPr>
      <w:lvlText w:val="%5."/>
    </w:lvl>
    <w:lvl w:ilvl="5">
      <w:lvlJc w:val="right"/>
      <w:numFmt w:val="lowerRoman"/>
      <w:start w:val="1"/>
      <w:suff w:val="tab"/>
      <w:pPr>
        <w:ind w:left="3520" w:hanging="440"/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3960" w:hanging="440"/>
        <w:rPr/>
      </w:pPr>
      <w:rPr>
        <w:shd w:val="clear"/>
      </w:rPr>
      <w:lvlText w:val="%7."/>
    </w:lvl>
    <w:lvl w:ilvl="7">
      <w:lvlJc w:val="left"/>
      <w:numFmt w:val="upperLetter"/>
      <w:start w:val="1"/>
      <w:suff w:val="tab"/>
      <w:pPr>
        <w:ind w:left="4400" w:hanging="440"/>
        <w:rPr/>
      </w:pPr>
      <w:rPr>
        <w:shd w:val="clear"/>
      </w:rPr>
      <w:lvlText w:val="%8."/>
    </w:lvl>
    <w:lvl w:ilvl="8">
      <w:lvlJc w:val="right"/>
      <w:numFmt w:val="lowerRoman"/>
      <w:start w:val="1"/>
      <w:suff w:val="tab"/>
      <w:pPr>
        <w:ind w:left="4840" w:hanging="440"/>
        <w:rPr/>
      </w:pPr>
      <w:rPr>
        <w:shd w:val="clear"/>
      </w:rPr>
      <w:lvlText w:val="%9."/>
    </w:lvl>
  </w:abstractNum>
  <w:abstractNum w:abstractNumId="19">
    <w:multiLevelType w:val="multilevel"/>
    <w:nsid w:val="2F000013"/>
    <w:tmpl w:val="1F000A9E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20">
    <w:multiLevelType w:val="hybridMultilevel"/>
    <w:nsid w:val="2F000014"/>
    <w:tmpl w:val="1F003F43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21">
    <w:multiLevelType w:val="hybridMultilevel"/>
    <w:nsid w:val="2F000015"/>
    <w:tmpl w:val="1F001C86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22">
    <w:multiLevelType w:val="hybridMultilevel"/>
    <w:nsid w:val="2F000016"/>
    <w:tmpl w:val="1F00079F"/>
    <w:lvl w:ilvl="0">
      <w:lvlJc w:val="left"/>
      <w:numFmt w:val="bullet"/>
      <w:start w:val="1"/>
      <w:suff w:val="tab"/>
      <w:pPr>
        <w:ind w:left="880" w:hanging="440"/>
        <w:rPr/>
      </w:pPr>
      <w:rPr>
        <w:shd w:val="clear"/>
        <w:rFonts w:ascii="Wingdings" w:eastAsia="Wingdings" w:hAnsi="Wingdings" w:cs="Wingdings" w:hint="default"/>
      </w:rPr>
      <w:lvlText w:val="l"/>
    </w:lvl>
    <w:lvl w:ilvl="1">
      <w:lvlJc w:val="left"/>
      <w:numFmt w:val="bullet"/>
      <w:start w:val="1"/>
      <w:suff w:val="tab"/>
      <w:pPr>
        <w:ind w:left="1320" w:hanging="440"/>
        <w:rPr/>
      </w:pPr>
      <w:rPr>
        <w:shd w:val="clear"/>
        <w:rFonts w:ascii="Wingdings" w:eastAsia="Wingdings" w:hAnsi="Wingdings" w:cs="Wingdings" w:hint="default"/>
      </w:rPr>
      <w:lvlText w:val="n"/>
    </w:lvl>
    <w:lvl w:ilvl="2">
      <w:lvlJc w:val="left"/>
      <w:numFmt w:val="bullet"/>
      <w:start w:val="1"/>
      <w:suff w:val="tab"/>
      <w:pPr>
        <w:ind w:left="1760" w:hanging="440"/>
        <w:rPr/>
      </w:pPr>
      <w:rPr>
        <w:shd w:val="clear"/>
        <w:rFonts w:ascii="Wingdings" w:eastAsia="Wingdings" w:hAnsi="Wingdings" w:cs="Wingdings" w:hint="default"/>
      </w:rPr>
      <w:lvlText w:val="u"/>
    </w:lvl>
    <w:lvl w:ilvl="3">
      <w:lvlJc w:val="left"/>
      <w:numFmt w:val="bullet"/>
      <w:start w:val="1"/>
      <w:suff w:val="tab"/>
      <w:pPr>
        <w:ind w:left="2200" w:hanging="440"/>
        <w:rPr/>
      </w:pPr>
      <w:rPr>
        <w:shd w:val="clear"/>
        <w:rFonts w:ascii="Wingdings" w:eastAsia="Wingdings" w:hAnsi="Wingdings" w:cs="Wingdings" w:hint="default"/>
      </w:rPr>
      <w:lvlText w:val="l"/>
    </w:lvl>
    <w:lvl w:ilvl="4">
      <w:lvlJc w:val="left"/>
      <w:numFmt w:val="bullet"/>
      <w:start w:val="1"/>
      <w:suff w:val="tab"/>
      <w:pPr>
        <w:ind w:left="2640" w:hanging="440"/>
        <w:rPr/>
      </w:pPr>
      <w:rPr>
        <w:shd w:val="clear"/>
        <w:rFonts w:ascii="Wingdings" w:eastAsia="Wingdings" w:hAnsi="Wingdings" w:cs="Wingdings" w:hint="default"/>
      </w:rPr>
      <w:lvlText w:val="n"/>
    </w:lvl>
    <w:lvl w:ilvl="5">
      <w:lvlJc w:val="left"/>
      <w:numFmt w:val="bullet"/>
      <w:start w:val="1"/>
      <w:suff w:val="tab"/>
      <w:pPr>
        <w:ind w:left="3080" w:hanging="440"/>
        <w:rPr/>
      </w:pPr>
      <w:rPr>
        <w:shd w:val="clear"/>
        <w:rFonts w:ascii="Wingdings" w:eastAsia="Wingdings" w:hAnsi="Wingdings" w:cs="Wingdings" w:hint="default"/>
      </w:rPr>
      <w:lvlText w:val="u"/>
    </w:lvl>
    <w:lvl w:ilvl="6">
      <w:lvlJc w:val="left"/>
      <w:numFmt w:val="bullet"/>
      <w:start w:val="1"/>
      <w:suff w:val="tab"/>
      <w:pPr>
        <w:ind w:left="3520" w:hanging="440"/>
        <w:rPr/>
      </w:pPr>
      <w:rPr>
        <w:shd w:val="clear"/>
        <w:rFonts w:ascii="Wingdings" w:eastAsia="Wingdings" w:hAnsi="Wingdings" w:cs="Wingdings" w:hint="default"/>
      </w:rPr>
      <w:lvlText w:val="l"/>
    </w:lvl>
    <w:lvl w:ilvl="7">
      <w:lvlJc w:val="left"/>
      <w:numFmt w:val="bullet"/>
      <w:start w:val="1"/>
      <w:suff w:val="tab"/>
      <w:pPr>
        <w:ind w:left="3960" w:hanging="440"/>
        <w:rPr/>
      </w:pPr>
      <w:rPr>
        <w:shd w:val="clear"/>
        <w:rFonts w:ascii="Wingdings" w:eastAsia="Wingdings" w:hAnsi="Wingdings" w:cs="Wingdings" w:hint="default"/>
      </w:rPr>
      <w:lvlText w:val="n"/>
    </w:lvl>
    <w:lvl w:ilvl="8">
      <w:lvlJc w:val="left"/>
      <w:numFmt w:val="bullet"/>
      <w:start w:val="1"/>
      <w:suff w:val="tab"/>
      <w:pPr>
        <w:ind w:left="4400" w:hanging="440"/>
        <w:rPr/>
      </w:pPr>
      <w:rPr>
        <w:shd w:val="clear"/>
        <w:rFonts w:ascii="Wingdings" w:eastAsia="Wingdings" w:hAnsi="Wingdings" w:cs="Wingdings" w:hint="default"/>
      </w:rPr>
      <w:lvlText w:val="u"/>
    </w:lvl>
  </w:abstractNum>
  <w:abstractNum w:abstractNumId="23">
    <w:multiLevelType w:val="hybridMultilevel"/>
    <w:nsid w:val="2F000017"/>
    <w:tmpl w:val="1F00004C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24">
    <w:multiLevelType w:val="multilevel"/>
    <w:nsid w:val="2F000018"/>
    <w:tmpl w:val="1F000092"/>
    <w:lvl w:ilvl="0">
      <w:lvlJc w:val="left"/>
      <w:numFmt w:val="upperLetter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EnclosedCircle"/>
      <w:start w:val="1"/>
      <w:suff w:val="tab"/>
      <w:pPr>
        <w:ind w:left="2240" w:hanging="440"/>
        <w:rPr/>
      </w:pPr>
      <w:rPr>
        <w:shd w:val="clear"/>
      </w:rPr>
      <w:lvlText w:val="%3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25">
    <w:multiLevelType w:val="hybridMultilevel"/>
    <w:nsid w:val="2F000019"/>
    <w:tmpl w:val="1F00182F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26">
    <w:multiLevelType w:val="hybridMultilevel"/>
    <w:nsid w:val="2F00001A"/>
    <w:tmpl w:val="1F002206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27">
    <w:multiLevelType w:val="hybridMultilevel"/>
    <w:nsid w:val="2F00001B"/>
    <w:tmpl w:val="1F00248E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28">
    <w:multiLevelType w:val="hybridMultilevel"/>
    <w:nsid w:val="2F00001C"/>
    <w:tmpl w:val="1F002683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29">
    <w:multiLevelType w:val="hybridMultilevel"/>
    <w:nsid w:val="2F00001D"/>
    <w:tmpl w:val="1F0026DB"/>
    <w:lvl w:ilvl="0">
      <w:lvlJc w:val="left"/>
      <w:numFmt w:val="decimalEnclosedCircle"/>
      <w:start w:val="1"/>
      <w:suff w:val="tab"/>
      <w:pPr>
        <w:ind w:left="800" w:hanging="360"/>
        <w:rPr/>
      </w:pPr>
      <w:rPr>
        <w:shd w:val="clear"/>
        <w:rFonts w:hint="default"/>
      </w:rPr>
      <w:lvlText w:val="%1"/>
    </w:lvl>
    <w:lvl w:ilvl="1">
      <w:lvlJc w:val="left"/>
      <w:numFmt w:val="decimalEnclosedCircle"/>
      <w:start w:val="1"/>
      <w:suff w:val="tab"/>
      <w:pPr>
        <w:ind w:left="1320" w:hanging="440"/>
        <w:rPr/>
      </w:pPr>
      <w:rPr>
        <w:shd w:val="clear"/>
      </w:rPr>
      <w:lvlText w:val="%2"/>
    </w:lvl>
    <w:lvl w:ilvl="2">
      <w:lvlJc w:val="right"/>
      <w:numFmt w:val="lowerRoman"/>
      <w:start w:val="1"/>
      <w:suff w:val="tab"/>
      <w:pPr>
        <w:ind w:left="1760" w:hanging="440"/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200" w:hanging="440"/>
        <w:rPr/>
      </w:pPr>
      <w:rPr>
        <w:shd w:val="clear"/>
      </w:rPr>
      <w:lvlText w:val="%4."/>
    </w:lvl>
    <w:lvl w:ilvl="4">
      <w:lvlJc w:val="left"/>
      <w:numFmt w:val="upperLetter"/>
      <w:start w:val="1"/>
      <w:suff w:val="tab"/>
      <w:pPr>
        <w:ind w:left="2640" w:hanging="440"/>
        <w:rPr/>
      </w:pPr>
      <w:rPr>
        <w:shd w:val="clear"/>
      </w:rPr>
      <w:lvlText w:val="%5."/>
    </w:lvl>
    <w:lvl w:ilvl="5">
      <w:lvlJc w:val="right"/>
      <w:numFmt w:val="lowerRoman"/>
      <w:start w:val="1"/>
      <w:suff w:val="tab"/>
      <w:pPr>
        <w:ind w:left="3080" w:hanging="440"/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3520" w:hanging="440"/>
        <w:rPr/>
      </w:pPr>
      <w:rPr>
        <w:shd w:val="clear"/>
      </w:rPr>
      <w:lvlText w:val="%7."/>
    </w:lvl>
    <w:lvl w:ilvl="7">
      <w:lvlJc w:val="left"/>
      <w:numFmt w:val="upperLetter"/>
      <w:start w:val="1"/>
      <w:suff w:val="tab"/>
      <w:pPr>
        <w:ind w:left="3960" w:hanging="440"/>
        <w:rPr/>
      </w:pPr>
      <w:rPr>
        <w:shd w:val="clear"/>
      </w:rPr>
      <w:lvlText w:val="%8."/>
    </w:lvl>
    <w:lvl w:ilvl="8">
      <w:lvlJc w:val="right"/>
      <w:numFmt w:val="lowerRoman"/>
      <w:start w:val="1"/>
      <w:suff w:val="tab"/>
      <w:pPr>
        <w:ind w:left="4400" w:hanging="440"/>
        <w:rPr/>
      </w:pPr>
      <w:rPr>
        <w:shd w:val="clear"/>
      </w:rPr>
      <w:lvlText w:val="%9."/>
    </w:lvl>
  </w:abstractNum>
  <w:abstractNum w:abstractNumId="30">
    <w:multiLevelType w:val="multilevel"/>
    <w:nsid w:val="2F00001E"/>
    <w:tmpl w:val="1F000AA3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31">
    <w:multiLevelType w:val="hybridMultilevel"/>
    <w:nsid w:val="2F00001F"/>
    <w:tmpl w:val="1F002A6F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32">
    <w:multiLevelType w:val="hybridMultilevel"/>
    <w:nsid w:val="2F000020"/>
    <w:tmpl w:val="1F001CD9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33">
    <w:multiLevelType w:val="hybridMultilevel"/>
    <w:nsid w:val="2F000021"/>
    <w:tmpl w:val="1F001689"/>
    <w:lvl w:ilvl="0">
      <w:lvlJc w:val="left"/>
      <w:numFmt w:val="decimalEnclosedCircle"/>
      <w:start w:val="1"/>
      <w:suff w:val="tab"/>
      <w:pPr>
        <w:ind w:left="880" w:hanging="440"/>
        <w:rPr/>
      </w:pPr>
      <w:rPr>
        <w:shd w:val="clear"/>
      </w:rPr>
      <w:lvlText w:val="%1"/>
    </w:lvl>
    <w:lvl w:ilvl="1">
      <w:lvlJc w:val="left"/>
      <w:numFmt w:val="upperLetter"/>
      <w:start w:val="1"/>
      <w:suff w:val="tab"/>
      <w:pPr>
        <w:ind w:left="1320" w:hanging="440"/>
        <w:rPr/>
      </w:pPr>
      <w:rPr>
        <w:shd w:val="clear"/>
      </w:rPr>
      <w:lvlText w:val="%2."/>
    </w:lvl>
    <w:lvl w:ilvl="2">
      <w:lvlJc w:val="right"/>
      <w:numFmt w:val="lowerRoman"/>
      <w:start w:val="1"/>
      <w:suff w:val="tab"/>
      <w:pPr>
        <w:ind w:left="1760" w:hanging="440"/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200" w:hanging="440"/>
        <w:rPr/>
      </w:pPr>
      <w:rPr>
        <w:shd w:val="clear"/>
      </w:rPr>
      <w:lvlText w:val="%4."/>
    </w:lvl>
    <w:lvl w:ilvl="4">
      <w:lvlJc w:val="left"/>
      <w:numFmt w:val="upperLetter"/>
      <w:start w:val="1"/>
      <w:suff w:val="tab"/>
      <w:pPr>
        <w:ind w:left="2640" w:hanging="440"/>
        <w:rPr/>
      </w:pPr>
      <w:rPr>
        <w:shd w:val="clear"/>
      </w:rPr>
      <w:lvlText w:val="%5."/>
    </w:lvl>
    <w:lvl w:ilvl="5">
      <w:lvlJc w:val="right"/>
      <w:numFmt w:val="lowerRoman"/>
      <w:start w:val="1"/>
      <w:suff w:val="tab"/>
      <w:pPr>
        <w:ind w:left="3080" w:hanging="440"/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3520" w:hanging="440"/>
        <w:rPr/>
      </w:pPr>
      <w:rPr>
        <w:shd w:val="clear"/>
      </w:rPr>
      <w:lvlText w:val="%7."/>
    </w:lvl>
    <w:lvl w:ilvl="7">
      <w:lvlJc w:val="left"/>
      <w:numFmt w:val="upperLetter"/>
      <w:start w:val="1"/>
      <w:suff w:val="tab"/>
      <w:pPr>
        <w:ind w:left="3960" w:hanging="440"/>
        <w:rPr/>
      </w:pPr>
      <w:rPr>
        <w:shd w:val="clear"/>
      </w:rPr>
      <w:lvlText w:val="%8."/>
    </w:lvl>
    <w:lvl w:ilvl="8">
      <w:lvlJc w:val="right"/>
      <w:numFmt w:val="lowerRoman"/>
      <w:start w:val="1"/>
      <w:suff w:val="tab"/>
      <w:pPr>
        <w:ind w:left="4400" w:hanging="440"/>
        <w:rPr/>
      </w:pPr>
      <w:rPr>
        <w:shd w:val="clear"/>
      </w:rPr>
      <w:lvlText w:val="%9."/>
    </w:lvl>
  </w:abstractNum>
  <w:abstractNum w:abstractNumId="34">
    <w:multiLevelType w:val="multilevel"/>
    <w:nsid w:val="2F000022"/>
    <w:tmpl w:val="1F0003A6"/>
    <w:lvl w:ilvl="0">
      <w:lvlJc w:val="left"/>
      <w:numFmt w:val="decimalEnclosedCircle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"/>
    </w:lvl>
    <w:lvl w:ilvl="1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2.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35">
    <w:multiLevelType w:val="multilevel"/>
    <w:nsid w:val="2F000023"/>
    <w:tmpl w:val="1F0026E4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36">
    <w:multiLevelType w:val="multilevel"/>
    <w:nsid w:val="2F000024"/>
    <w:tmpl w:val="1F003221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37">
    <w:multiLevelType w:val="multilevel"/>
    <w:nsid w:val="2F000025"/>
    <w:tmpl w:val="1F00335D"/>
    <w:lvl w:ilvl="0">
      <w:lvlJc w:val="left"/>
      <w:numFmt w:val="decimal"/>
      <w:start w:val="1"/>
      <w:suff w:val="tab"/>
      <w:pPr>
        <w:ind w:left="1240" w:hanging="360"/>
        <w:tabs>
          <w:tab w:val="left" w:pos="1240"/>
        </w:tabs>
        <w:rPr/>
      </w:pPr>
      <w:rPr>
        <w:shd w:val="clear"/>
      </w:rPr>
      <w:lvlText w:val="%1."/>
    </w:lvl>
    <w:lvl w:ilvl="1">
      <w:lvlJc w:val="left"/>
      <w:numFmt w:val="decimal"/>
      <w:start w:val="1"/>
      <w:suff w:val="tab"/>
      <w:pPr>
        <w:ind w:left="1960" w:hanging="360"/>
        <w:tabs>
          <w:tab w:val="left" w:pos="1960"/>
        </w:tabs>
        <w:rPr/>
      </w:pPr>
      <w:rPr>
        <w:shd w:val="clear"/>
      </w:rPr>
      <w:lvlText w:val="%2."/>
    </w:lvl>
    <w:lvl w:ilvl="2">
      <w:lvlJc w:val="left"/>
      <w:numFmt w:val="decimal"/>
      <w:start w:val="1"/>
      <w:suff w:val="tab"/>
      <w:pPr>
        <w:ind w:left="2680" w:hanging="360"/>
        <w:tabs>
          <w:tab w:val="left" w:pos="268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3400" w:hanging="360"/>
        <w:tabs>
          <w:tab w:val="left" w:pos="340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4120" w:hanging="360"/>
        <w:tabs>
          <w:tab w:val="left" w:pos="412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840" w:hanging="360"/>
        <w:tabs>
          <w:tab w:val="left" w:pos="484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560" w:hanging="360"/>
        <w:tabs>
          <w:tab w:val="left" w:pos="556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6280" w:hanging="360"/>
        <w:tabs>
          <w:tab w:val="left" w:pos="628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7000" w:hanging="360"/>
        <w:tabs>
          <w:tab w:val="left" w:pos="7000"/>
        </w:tabs>
        <w:rPr/>
      </w:pPr>
      <w:rPr>
        <w:shd w:val="clear"/>
      </w:rPr>
      <w:lvlText w:val="%9."/>
    </w:lvl>
  </w:abstractNum>
  <w:abstractNum w:abstractNumId="38">
    <w:multiLevelType w:val="multilevel"/>
    <w:nsid w:val="2F000026"/>
    <w:tmpl w:val="1F002145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39">
    <w:multiLevelType w:val="multilevel"/>
    <w:nsid w:val="2F000027"/>
    <w:tmpl w:val="1F001353"/>
    <w:lvl w:ilvl="0">
      <w:lvlJc w:val="left"/>
      <w:numFmt w:val="decimal"/>
      <w:start w:val="1"/>
      <w:suff w:val="tab"/>
      <w:pPr>
        <w:ind w:left="1160" w:hanging="360"/>
        <w:tabs>
          <w:tab w:val="left" w:pos="1160"/>
        </w:tabs>
        <w:rPr/>
      </w:pPr>
      <w:rPr>
        <w:shd w:val="clear"/>
      </w:rPr>
      <w:lvlText w:val="%1."/>
    </w:lvl>
    <w:lvl w:ilvl="1">
      <w:lvlJc w:val="left"/>
      <w:numFmt w:val="decimal"/>
      <w:start w:val="1"/>
      <w:suff w:val="tab"/>
      <w:pPr>
        <w:ind w:left="1880" w:hanging="360"/>
        <w:tabs>
          <w:tab w:val="left" w:pos="1880"/>
        </w:tabs>
        <w:rPr/>
      </w:pPr>
      <w:rPr>
        <w:shd w:val="clear"/>
      </w:rPr>
      <w:lvlText w:val="%2."/>
    </w:lvl>
    <w:lvl w:ilvl="2">
      <w:lvlJc w:val="left"/>
      <w:numFmt w:val="decimal"/>
      <w:start w:val="1"/>
      <w:suff w:val="tab"/>
      <w:pPr>
        <w:ind w:left="2600" w:hanging="360"/>
        <w:tabs>
          <w:tab w:val="left" w:pos="260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3320" w:hanging="360"/>
        <w:tabs>
          <w:tab w:val="left" w:pos="332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4040" w:hanging="360"/>
        <w:tabs>
          <w:tab w:val="left" w:pos="404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760" w:hanging="360"/>
        <w:tabs>
          <w:tab w:val="left" w:pos="476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480" w:hanging="360"/>
        <w:tabs>
          <w:tab w:val="left" w:pos="548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6200" w:hanging="360"/>
        <w:tabs>
          <w:tab w:val="left" w:pos="620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920" w:hanging="360"/>
        <w:tabs>
          <w:tab w:val="left" w:pos="6920"/>
        </w:tabs>
        <w:rPr/>
      </w:pPr>
      <w:rPr>
        <w:shd w:val="clear"/>
      </w:rPr>
      <w:lvlText w:val="%9."/>
    </w:lvl>
  </w:abstractNum>
  <w:abstractNum w:abstractNumId="40">
    <w:multiLevelType w:val="hybridMultilevel"/>
    <w:nsid w:val="2F000028"/>
    <w:tmpl w:val="1F00380F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41">
    <w:multiLevelType w:val="hybridMultilevel"/>
    <w:nsid w:val="2F000029"/>
    <w:tmpl w:val="1F002E81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42">
    <w:multiLevelType w:val="multilevel"/>
    <w:nsid w:val="2F00002A"/>
    <w:tmpl w:val="1F003D2D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2.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43">
    <w:multiLevelType w:val="multilevel"/>
    <w:nsid w:val="2F00002B"/>
    <w:tmpl w:val="1F003B3E"/>
    <w:lvl w:ilvl="0">
      <w:lvlJc w:val="left"/>
      <w:numFmt w:val="decimal"/>
      <w:start w:val="1"/>
      <w:suff w:val="tab"/>
      <w:pPr>
        <w:ind w:left="1160" w:hanging="360"/>
        <w:tabs>
          <w:tab w:val="left" w:pos="116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880" w:hanging="360"/>
        <w:tabs>
          <w:tab w:val="left" w:pos="188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600" w:hanging="360"/>
        <w:tabs>
          <w:tab w:val="left" w:pos="260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3320" w:hanging="360"/>
        <w:tabs>
          <w:tab w:val="left" w:pos="332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4040" w:hanging="360"/>
        <w:tabs>
          <w:tab w:val="left" w:pos="404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760" w:hanging="360"/>
        <w:tabs>
          <w:tab w:val="left" w:pos="476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480" w:hanging="360"/>
        <w:tabs>
          <w:tab w:val="left" w:pos="548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6200" w:hanging="360"/>
        <w:tabs>
          <w:tab w:val="left" w:pos="620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920" w:hanging="360"/>
        <w:tabs>
          <w:tab w:val="left" w:pos="6920"/>
        </w:tabs>
        <w:rPr/>
      </w:pPr>
      <w:rPr>
        <w:shd w:val="clear"/>
      </w:rPr>
      <w:lvlText w:val="%9."/>
    </w:lvl>
  </w:abstractNum>
  <w:abstractNum w:abstractNumId="44">
    <w:multiLevelType w:val="multilevel"/>
    <w:nsid w:val="2F00002C"/>
    <w:tmpl w:val="1F002284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hAnsi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45">
    <w:multiLevelType w:val="hybridMultilevel"/>
    <w:nsid w:val="2F00002D"/>
    <w:tmpl w:val="1F00091C"/>
    <w:lvl w:ilvl="0">
      <w:lvlJc w:val="left"/>
      <w:numFmt w:val="bullet"/>
      <w:start w:val="1"/>
      <w:suff w:val="tab"/>
      <w:pPr>
        <w:ind w:left="800" w:hanging="360"/>
        <w:rPr/>
      </w:pPr>
      <w:rPr>
        <w:b w:val="1"/>
        <w:shd w:val="clear"/>
        <w:rFonts w:ascii="맑은 고딕" w:eastAsia="맑은 고딕" w:hAnsi="맑은 고딕" w:cstheme="minorBidi" w:hint="eastAsia"/>
      </w:rPr>
      <w:lvlText w:val="-"/>
    </w:lvl>
    <w:lvl w:ilvl="1">
      <w:lvlJc w:val="left"/>
      <w:numFmt w:val="bullet"/>
      <w:start w:val="1"/>
      <w:suff w:val="tab"/>
      <w:pPr>
        <w:ind w:left="1320" w:hanging="440"/>
        <w:rPr/>
      </w:pPr>
      <w:rPr>
        <w:shd w:val="clear"/>
        <w:rFonts w:ascii="Wingdings" w:eastAsia="Wingdings" w:hAnsi="Wingdings" w:cs="Wingdings" w:hint="default"/>
      </w:rPr>
      <w:lvlText w:val="n"/>
    </w:lvl>
    <w:lvl w:ilvl="2">
      <w:lvlJc w:val="left"/>
      <w:numFmt w:val="bullet"/>
      <w:start w:val="1"/>
      <w:suff w:val="tab"/>
      <w:pPr>
        <w:ind w:left="1760" w:hanging="440"/>
        <w:rPr/>
      </w:pPr>
      <w:rPr>
        <w:shd w:val="clear"/>
        <w:rFonts w:ascii="Wingdings" w:eastAsia="Wingdings" w:hAnsi="Wingdings" w:cs="Wingdings" w:hint="default"/>
      </w:rPr>
      <w:lvlText w:val="u"/>
    </w:lvl>
    <w:lvl w:ilvl="3">
      <w:lvlJc w:val="left"/>
      <w:numFmt w:val="bullet"/>
      <w:start w:val="1"/>
      <w:suff w:val="tab"/>
      <w:pPr>
        <w:ind w:left="2200" w:hanging="440"/>
        <w:rPr/>
      </w:pPr>
      <w:rPr>
        <w:shd w:val="clear"/>
        <w:rFonts w:ascii="Wingdings" w:eastAsia="Wingdings" w:hAnsi="Wingdings" w:cs="Wingdings" w:hint="default"/>
      </w:rPr>
      <w:lvlText w:val="l"/>
    </w:lvl>
    <w:lvl w:ilvl="4">
      <w:lvlJc w:val="left"/>
      <w:numFmt w:val="bullet"/>
      <w:start w:val="1"/>
      <w:suff w:val="tab"/>
      <w:pPr>
        <w:ind w:left="2640" w:hanging="440"/>
        <w:rPr/>
      </w:pPr>
      <w:rPr>
        <w:shd w:val="clear"/>
        <w:rFonts w:ascii="Wingdings" w:eastAsia="Wingdings" w:hAnsi="Wingdings" w:cs="Wingdings" w:hint="default"/>
      </w:rPr>
      <w:lvlText w:val="n"/>
    </w:lvl>
    <w:lvl w:ilvl="5">
      <w:lvlJc w:val="left"/>
      <w:numFmt w:val="bullet"/>
      <w:start w:val="1"/>
      <w:suff w:val="tab"/>
      <w:pPr>
        <w:ind w:left="3080" w:hanging="440"/>
        <w:rPr/>
      </w:pPr>
      <w:rPr>
        <w:shd w:val="clear"/>
        <w:rFonts w:ascii="Wingdings" w:eastAsia="Wingdings" w:hAnsi="Wingdings" w:cs="Wingdings" w:hint="default"/>
      </w:rPr>
      <w:lvlText w:val="u"/>
    </w:lvl>
    <w:lvl w:ilvl="6">
      <w:lvlJc w:val="left"/>
      <w:numFmt w:val="bullet"/>
      <w:start w:val="1"/>
      <w:suff w:val="tab"/>
      <w:pPr>
        <w:ind w:left="3520" w:hanging="440"/>
        <w:rPr/>
      </w:pPr>
      <w:rPr>
        <w:shd w:val="clear"/>
        <w:rFonts w:ascii="Wingdings" w:eastAsia="Wingdings" w:hAnsi="Wingdings" w:cs="Wingdings" w:hint="default"/>
      </w:rPr>
      <w:lvlText w:val="l"/>
    </w:lvl>
    <w:lvl w:ilvl="7">
      <w:lvlJc w:val="left"/>
      <w:numFmt w:val="bullet"/>
      <w:start w:val="1"/>
      <w:suff w:val="tab"/>
      <w:pPr>
        <w:ind w:left="3960" w:hanging="440"/>
        <w:rPr/>
      </w:pPr>
      <w:rPr>
        <w:shd w:val="clear"/>
        <w:rFonts w:ascii="Wingdings" w:eastAsia="Wingdings" w:hAnsi="Wingdings" w:cs="Wingdings" w:hint="default"/>
      </w:rPr>
      <w:lvlText w:val="n"/>
    </w:lvl>
    <w:lvl w:ilvl="8">
      <w:lvlJc w:val="left"/>
      <w:numFmt w:val="bullet"/>
      <w:start w:val="1"/>
      <w:suff w:val="tab"/>
      <w:pPr>
        <w:ind w:left="4400" w:hanging="440"/>
        <w:rPr/>
      </w:pPr>
      <w:rPr>
        <w:shd w:val="clear"/>
        <w:rFonts w:ascii="Wingdings" w:eastAsia="Wingdings" w:hAnsi="Wingdings" w:cs="Wingdings" w:hint="default"/>
      </w:rPr>
      <w:lvlText w:val="u"/>
    </w:lvl>
  </w:abstractNum>
  <w:abstractNum w:abstractNumId="46">
    <w:multiLevelType w:val="hybridMultilevel"/>
    <w:nsid w:val="2F00002E"/>
    <w:tmpl w:val="1F001D92"/>
    <w:lvl w:ilvl="0">
      <w:lvlJc w:val="left"/>
      <w:numFmt w:val="decimalEnclosedCircle"/>
      <w:start w:val="1"/>
      <w:suff w:val="tab"/>
      <w:pPr>
        <w:ind w:left="880" w:hanging="440"/>
        <w:rPr/>
      </w:pPr>
      <w:rPr>
        <w:shd w:val="clear"/>
      </w:rPr>
      <w:lvlText w:val="%1"/>
    </w:lvl>
    <w:lvl w:ilvl="1">
      <w:lvlJc w:val="left"/>
      <w:numFmt w:val="upperLetter"/>
      <w:start w:val="1"/>
      <w:suff w:val="tab"/>
      <w:pPr>
        <w:ind w:left="1320" w:hanging="440"/>
        <w:rPr/>
      </w:pPr>
      <w:rPr>
        <w:shd w:val="clear"/>
      </w:rPr>
      <w:lvlText w:val="%2."/>
    </w:lvl>
    <w:lvl w:ilvl="2">
      <w:lvlJc w:val="right"/>
      <w:numFmt w:val="lowerRoman"/>
      <w:start w:val="1"/>
      <w:suff w:val="tab"/>
      <w:pPr>
        <w:ind w:left="1760" w:hanging="440"/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200" w:hanging="440"/>
        <w:rPr/>
      </w:pPr>
      <w:rPr>
        <w:shd w:val="clear"/>
      </w:rPr>
      <w:lvlText w:val="%4."/>
    </w:lvl>
    <w:lvl w:ilvl="4">
      <w:lvlJc w:val="left"/>
      <w:numFmt w:val="upperLetter"/>
      <w:start w:val="1"/>
      <w:suff w:val="tab"/>
      <w:pPr>
        <w:ind w:left="2640" w:hanging="440"/>
        <w:rPr/>
      </w:pPr>
      <w:rPr>
        <w:shd w:val="clear"/>
      </w:rPr>
      <w:lvlText w:val="%5."/>
    </w:lvl>
    <w:lvl w:ilvl="5">
      <w:lvlJc w:val="right"/>
      <w:numFmt w:val="lowerRoman"/>
      <w:start w:val="1"/>
      <w:suff w:val="tab"/>
      <w:pPr>
        <w:ind w:left="3080" w:hanging="440"/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3520" w:hanging="440"/>
        <w:rPr/>
      </w:pPr>
      <w:rPr>
        <w:shd w:val="clear"/>
      </w:rPr>
      <w:lvlText w:val="%7."/>
    </w:lvl>
    <w:lvl w:ilvl="7">
      <w:lvlJc w:val="left"/>
      <w:numFmt w:val="upperLetter"/>
      <w:start w:val="1"/>
      <w:suff w:val="tab"/>
      <w:pPr>
        <w:ind w:left="3960" w:hanging="440"/>
        <w:rPr/>
      </w:pPr>
      <w:rPr>
        <w:shd w:val="clear"/>
      </w:rPr>
      <w:lvlText w:val="%8."/>
    </w:lvl>
    <w:lvl w:ilvl="8">
      <w:lvlJc w:val="right"/>
      <w:numFmt w:val="lowerRoman"/>
      <w:start w:val="1"/>
      <w:suff w:val="tab"/>
      <w:pPr>
        <w:ind w:left="4400" w:hanging="440"/>
        <w:rPr/>
      </w:pPr>
      <w:rPr>
        <w:shd w:val="clear"/>
      </w:rPr>
      <w:lvlText w:val="%9."/>
    </w:lvl>
  </w:abstractNum>
  <w:abstractNum w:abstractNumId="47">
    <w:multiLevelType w:val="multilevel"/>
    <w:nsid w:val="2F00002F"/>
    <w:tmpl w:val="1F000F0F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2.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48">
    <w:multiLevelType w:val="hybridMultilevel"/>
    <w:nsid w:val="2F000030"/>
    <w:tmpl w:val="1F00372E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hAnsi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hAnsi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hAnsi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hAnsi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hAnsi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hAnsi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hAnsi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hAnsi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hAnsi="Wingdings" w:hint="default"/>
      </w:rPr>
      <w:lvlText w:val="§"/>
    </w:lvl>
  </w:abstractNum>
  <w:abstractNum w:abstractNumId="49">
    <w:multiLevelType w:val="hybridMultilevel"/>
    <w:nsid w:val="2F000031"/>
    <w:tmpl w:val="1F000D6A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50">
    <w:multiLevelType w:val="hybridMultilevel"/>
    <w:nsid w:val="2F000032"/>
    <w:tmpl w:val="1F0031E5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51">
    <w:multiLevelType w:val="hybridMultilevel"/>
    <w:nsid w:val="2F000033"/>
    <w:tmpl w:val="1F0035FE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52">
    <w:multiLevelType w:val="multilevel"/>
    <w:nsid w:val="2F000034"/>
    <w:tmpl w:val="1F003FCB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53">
    <w:multiLevelType w:val="hybridMultilevel"/>
    <w:nsid w:val="2F000035"/>
    <w:tmpl w:val="1F003FFA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54">
    <w:multiLevelType w:val="multilevel"/>
    <w:nsid w:val="2F000036"/>
    <w:tmpl w:val="1F002722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decimal"/>
      <w:start w:val="1"/>
      <w:suff w:val="tab"/>
      <w:pPr>
        <w:ind w:left="1440" w:hanging="360"/>
        <w:rPr/>
      </w:pPr>
      <w:rPr>
        <w:shd w:val="clear"/>
        <w:rFonts w:hint="default"/>
      </w:rPr>
      <w:lvlText w:val="%2.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55">
    <w:multiLevelType w:val="hybridMultilevel"/>
    <w:nsid w:val="2F000037"/>
    <w:tmpl w:val="1F00191D"/>
    <w:lvl w:ilvl="0">
      <w:lvlJc w:val="left"/>
      <w:numFmt w:val="decimalEnclosedCircle"/>
      <w:start w:val="1"/>
      <w:suff w:val="tab"/>
      <w:pPr>
        <w:ind w:left="1160" w:hanging="360"/>
        <w:rPr/>
      </w:pPr>
      <w:rPr>
        <w:shd w:val="clear"/>
        <w:rFonts w:hint="eastAsia"/>
      </w:rPr>
      <w:lvlText w:val="%1"/>
    </w:lvl>
    <w:lvl w:ilvl="1">
      <w:lvlJc w:val="left"/>
      <w:numFmt w:val="decimalEnclosedCircle"/>
      <w:start w:val="1"/>
      <w:suff w:val="tab"/>
      <w:pPr>
        <w:ind w:left="1680" w:hanging="440"/>
        <w:rPr/>
      </w:pPr>
      <w:rPr>
        <w:shd w:val="clear"/>
      </w:rPr>
      <w:lvlText w:val="%2"/>
    </w:lvl>
    <w:lvl w:ilvl="2">
      <w:lvlJc w:val="right"/>
      <w:numFmt w:val="lowerRoman"/>
      <w:start w:val="1"/>
      <w:suff w:val="tab"/>
      <w:pPr>
        <w:ind w:left="2120" w:hanging="440"/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560" w:hanging="440"/>
        <w:rPr/>
      </w:pPr>
      <w:rPr>
        <w:shd w:val="clear"/>
      </w:rPr>
      <w:lvlText w:val="%4."/>
    </w:lvl>
    <w:lvl w:ilvl="4">
      <w:lvlJc w:val="left"/>
      <w:numFmt w:val="upperLetter"/>
      <w:start w:val="1"/>
      <w:suff w:val="tab"/>
      <w:pPr>
        <w:ind w:left="3000" w:hanging="440"/>
        <w:rPr/>
      </w:pPr>
      <w:rPr>
        <w:shd w:val="clear"/>
      </w:rPr>
      <w:lvlText w:val="%5."/>
    </w:lvl>
    <w:lvl w:ilvl="5">
      <w:lvlJc w:val="right"/>
      <w:numFmt w:val="lowerRoman"/>
      <w:start w:val="1"/>
      <w:suff w:val="tab"/>
      <w:pPr>
        <w:ind w:left="3440" w:hanging="440"/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3880" w:hanging="440"/>
        <w:rPr/>
      </w:pPr>
      <w:rPr>
        <w:shd w:val="clear"/>
      </w:rPr>
      <w:lvlText w:val="%7."/>
    </w:lvl>
    <w:lvl w:ilvl="7">
      <w:lvlJc w:val="left"/>
      <w:numFmt w:val="upperLetter"/>
      <w:start w:val="1"/>
      <w:suff w:val="tab"/>
      <w:pPr>
        <w:ind w:left="4320" w:hanging="440"/>
        <w:rPr/>
      </w:pPr>
      <w:rPr>
        <w:shd w:val="clear"/>
      </w:rPr>
      <w:lvlText w:val="%8."/>
    </w:lvl>
    <w:lvl w:ilvl="8">
      <w:lvlJc w:val="right"/>
      <w:numFmt w:val="lowerRoman"/>
      <w:start w:val="1"/>
      <w:suff w:val="tab"/>
      <w:pPr>
        <w:ind w:left="4760" w:hanging="440"/>
        <w:rPr/>
      </w:pPr>
      <w:rPr>
        <w:shd w:val="clear"/>
      </w:rPr>
      <w:lvlText w:val="%9."/>
    </w:lvl>
  </w:abstractNum>
  <w:abstractNum w:abstractNumId="56">
    <w:multiLevelType w:val="hybridMultilevel"/>
    <w:nsid w:val="2F000038"/>
    <w:tmpl w:val="1F001109"/>
    <w:lvl w:ilvl="0">
      <w:lvlJc w:val="left"/>
      <w:numFmt w:val="bullet"/>
      <w:start w:val="1"/>
      <w:suff w:val="tab"/>
      <w:pPr>
        <w:ind w:left="1240" w:hanging="360"/>
        <w:tabs>
          <w:tab w:val="left" w:pos="124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960" w:hanging="360"/>
        <w:tabs>
          <w:tab w:val="left" w:pos="196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680" w:hanging="360"/>
        <w:tabs>
          <w:tab w:val="left" w:pos="26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3400" w:hanging="360"/>
        <w:tabs>
          <w:tab w:val="left" w:pos="34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4120" w:hanging="360"/>
        <w:tabs>
          <w:tab w:val="left" w:pos="41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840" w:hanging="360"/>
        <w:tabs>
          <w:tab w:val="left" w:pos="48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560" w:hanging="360"/>
        <w:tabs>
          <w:tab w:val="left" w:pos="55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6280" w:hanging="360"/>
        <w:tabs>
          <w:tab w:val="left" w:pos="62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7000" w:hanging="360"/>
        <w:tabs>
          <w:tab w:val="left" w:pos="70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57">
    <w:multiLevelType w:val="hybridMultilevel"/>
    <w:nsid w:val="2F000039"/>
    <w:tmpl w:val="1F001306"/>
    <w:lvl w:ilvl="0">
      <w:lvlJc w:val="left"/>
      <w:numFmt w:val="decimal"/>
      <w:start w:val="1"/>
      <w:suff w:val="tab"/>
      <w:pPr>
        <w:ind w:left="800" w:hanging="360"/>
        <w:rPr/>
      </w:pPr>
      <w:rPr>
        <w:shd w:val="clear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320" w:hanging="440"/>
        <w:rPr/>
      </w:pPr>
      <w:rPr>
        <w:shd w:val="clear"/>
      </w:rPr>
      <w:lvlText w:val="%2."/>
    </w:lvl>
    <w:lvl w:ilvl="2">
      <w:lvlJc w:val="right"/>
      <w:numFmt w:val="lowerRoman"/>
      <w:start w:val="1"/>
      <w:suff w:val="tab"/>
      <w:pPr>
        <w:ind w:left="1760" w:hanging="440"/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200" w:hanging="440"/>
        <w:rPr/>
      </w:pPr>
      <w:rPr>
        <w:shd w:val="clear"/>
      </w:rPr>
      <w:lvlText w:val="%4."/>
    </w:lvl>
    <w:lvl w:ilvl="4">
      <w:lvlJc w:val="left"/>
      <w:numFmt w:val="upperLetter"/>
      <w:start w:val="1"/>
      <w:suff w:val="tab"/>
      <w:pPr>
        <w:ind w:left="2640" w:hanging="440"/>
        <w:rPr/>
      </w:pPr>
      <w:rPr>
        <w:shd w:val="clear"/>
      </w:rPr>
      <w:lvlText w:val="%5."/>
    </w:lvl>
    <w:lvl w:ilvl="5">
      <w:lvlJc w:val="right"/>
      <w:numFmt w:val="lowerRoman"/>
      <w:start w:val="1"/>
      <w:suff w:val="tab"/>
      <w:pPr>
        <w:ind w:left="3080" w:hanging="440"/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3520" w:hanging="440"/>
        <w:rPr/>
      </w:pPr>
      <w:rPr>
        <w:shd w:val="clear"/>
      </w:rPr>
      <w:lvlText w:val="%7."/>
    </w:lvl>
    <w:lvl w:ilvl="7">
      <w:lvlJc w:val="left"/>
      <w:numFmt w:val="upperLetter"/>
      <w:start w:val="1"/>
      <w:suff w:val="tab"/>
      <w:pPr>
        <w:ind w:left="3960" w:hanging="440"/>
        <w:rPr/>
      </w:pPr>
      <w:rPr>
        <w:shd w:val="clear"/>
      </w:rPr>
      <w:lvlText w:val="%8."/>
    </w:lvl>
    <w:lvl w:ilvl="8">
      <w:lvlJc w:val="right"/>
      <w:numFmt w:val="lowerRoman"/>
      <w:start w:val="1"/>
      <w:suff w:val="tab"/>
      <w:pPr>
        <w:ind w:left="4400" w:hanging="440"/>
        <w:rPr/>
      </w:pPr>
      <w:rPr>
        <w:shd w:val="clear"/>
      </w:rPr>
      <w:lvlText w:val="%9."/>
    </w:lvl>
  </w:abstractNum>
  <w:abstractNum w:abstractNumId="58">
    <w:multiLevelType w:val="multilevel"/>
    <w:nsid w:val="2F00003A"/>
    <w:tmpl w:val="1F0035C4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2.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59">
    <w:multiLevelType w:val="hybridMultilevel"/>
    <w:nsid w:val="2F00003B"/>
    <w:tmpl w:val="1F000185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60">
    <w:multiLevelType w:val="hybridMultilevel"/>
    <w:nsid w:val="2F00003C"/>
    <w:tmpl w:val="1F00180E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61">
    <w:multiLevelType w:val="hybridMultilevel"/>
    <w:nsid w:val="2F00003D"/>
    <w:tmpl w:val="1F0005ED"/>
    <w:lvl w:ilvl="0">
      <w:lvlJc w:val="left"/>
      <w:numFmt w:val="bullet"/>
      <w:start w:val="1"/>
      <w:suff w:val="tab"/>
      <w:pPr>
        <w:ind w:left="800" w:hanging="360"/>
        <w:tabs>
          <w:tab w:val="left" w:pos="80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520" w:hanging="360"/>
        <w:tabs>
          <w:tab w:val="left" w:pos="152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240" w:hanging="360"/>
        <w:tabs>
          <w:tab w:val="left" w:pos="22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960" w:hanging="360"/>
        <w:tabs>
          <w:tab w:val="left" w:pos="29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80" w:hanging="360"/>
        <w:tabs>
          <w:tab w:val="left" w:pos="36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400" w:hanging="360"/>
        <w:tabs>
          <w:tab w:val="left" w:pos="44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120" w:hanging="360"/>
        <w:tabs>
          <w:tab w:val="left" w:pos="51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840" w:hanging="360"/>
        <w:tabs>
          <w:tab w:val="left" w:pos="58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560" w:hanging="360"/>
        <w:tabs>
          <w:tab w:val="left" w:pos="65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62">
    <w:multiLevelType w:val="hybridMultilevel"/>
    <w:nsid w:val="2F00003E"/>
    <w:tmpl w:val="1F002B57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63">
    <w:multiLevelType w:val="hybridMultilevel"/>
    <w:nsid w:val="2F00003F"/>
    <w:tmpl w:val="1F000399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64">
    <w:multiLevelType w:val="hybridMultilevel"/>
    <w:nsid w:val="2F000040"/>
    <w:tmpl w:val="1F000090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num w:numId="1">
    <w:abstractNumId w:val="58"/>
  </w:num>
  <w:num w:numId="2">
    <w:abstractNumId w:val="35"/>
  </w:num>
  <w:num w:numId="3">
    <w:abstractNumId w:val="47"/>
  </w:num>
  <w:num w:numId="4">
    <w:abstractNumId w:val="30"/>
  </w:num>
  <w:num w:numId="5">
    <w:abstractNumId w:val="0"/>
  </w:num>
  <w:num w:numId="6">
    <w:abstractNumId w:val="17"/>
  </w:num>
  <w:num w:numId="7">
    <w:abstractNumId w:val="45"/>
  </w:num>
  <w:num w:numId="8">
    <w:abstractNumId w:val="22"/>
  </w:num>
  <w:num w:numId="9">
    <w:abstractNumId w:val="23"/>
  </w:num>
  <w:num w:numId="10">
    <w:abstractNumId w:val="9"/>
  </w:num>
  <w:num w:numId="11">
    <w:abstractNumId w:val="56"/>
  </w:num>
  <w:num w:numId="12">
    <w:abstractNumId w:val="60"/>
  </w:num>
  <w:num w:numId="13">
    <w:abstractNumId w:val="62"/>
  </w:num>
  <w:num w:numId="14">
    <w:abstractNumId w:val="28"/>
  </w:num>
  <w:num w:numId="15">
    <w:abstractNumId w:val="20"/>
  </w:num>
  <w:num w:numId="16">
    <w:abstractNumId w:val="7"/>
  </w:num>
  <w:num w:numId="17">
    <w:abstractNumId w:val="25"/>
  </w:num>
  <w:num w:numId="18">
    <w:abstractNumId w:val="41"/>
  </w:num>
  <w:num w:numId="19">
    <w:abstractNumId w:val="10"/>
  </w:num>
  <w:num w:numId="20">
    <w:abstractNumId w:val="27"/>
  </w:num>
  <w:num w:numId="21">
    <w:abstractNumId w:val="55"/>
  </w:num>
  <w:num w:numId="22">
    <w:abstractNumId w:val="63"/>
  </w:num>
  <w:num w:numId="23">
    <w:abstractNumId w:val="21"/>
  </w:num>
  <w:num w:numId="24">
    <w:abstractNumId w:val="61"/>
  </w:num>
  <w:num w:numId="25">
    <w:abstractNumId w:val="29"/>
  </w:num>
  <w:num w:numId="26">
    <w:abstractNumId w:val="3"/>
  </w:num>
  <w:num w:numId="27">
    <w:abstractNumId w:val="24"/>
  </w:num>
  <w:num w:numId="28">
    <w:abstractNumId w:val="57"/>
  </w:num>
  <w:num w:numId="29">
    <w:abstractNumId w:val="43"/>
  </w:num>
  <w:num w:numId="30">
    <w:abstractNumId w:val="12"/>
  </w:num>
  <w:num w:numId="31">
    <w:abstractNumId w:val="15"/>
  </w:num>
  <w:num w:numId="32">
    <w:abstractNumId w:val="13"/>
  </w:num>
  <w:num w:numId="33">
    <w:abstractNumId w:val="5"/>
  </w:num>
  <w:num w:numId="34">
    <w:abstractNumId w:val="64"/>
  </w:num>
  <w:num w:numId="35">
    <w:abstractNumId w:val="18"/>
  </w:num>
  <w:num w:numId="36">
    <w:abstractNumId w:val="37"/>
  </w:num>
  <w:num w:numId="37">
    <w:abstractNumId w:val="1"/>
  </w:num>
  <w:num w:numId="38">
    <w:abstractNumId w:val="48"/>
  </w:num>
  <w:num w:numId="39">
    <w:abstractNumId w:val="11"/>
  </w:num>
  <w:num w:numId="40">
    <w:abstractNumId w:val="51"/>
  </w:num>
  <w:num w:numId="41">
    <w:abstractNumId w:val="14"/>
  </w:num>
  <w:num w:numId="42">
    <w:abstractNumId w:val="16"/>
  </w:num>
  <w:num w:numId="43">
    <w:abstractNumId w:val="53"/>
  </w:num>
  <w:num w:numId="44">
    <w:abstractNumId w:val="32"/>
  </w:num>
  <w:num w:numId="45">
    <w:abstractNumId w:val="54"/>
  </w:num>
  <w:num w:numId="46">
    <w:abstractNumId w:val="59"/>
  </w:num>
  <w:num w:numId="47">
    <w:abstractNumId w:val="50"/>
  </w:num>
  <w:num w:numId="48">
    <w:abstractNumId w:val="39"/>
  </w:num>
  <w:num w:numId="49">
    <w:abstractNumId w:val="6"/>
  </w:num>
  <w:num w:numId="50">
    <w:abstractNumId w:val="33"/>
  </w:num>
  <w:num w:numId="51">
    <w:abstractNumId w:val="4"/>
  </w:num>
  <w:num w:numId="52">
    <w:abstractNumId w:val="46"/>
  </w:num>
  <w:num w:numId="53">
    <w:abstractNumId w:val="42"/>
  </w:num>
  <w:num w:numId="54">
    <w:abstractNumId w:val="34"/>
  </w:num>
  <w:num w:numId="55">
    <w:abstractNumId w:val="52"/>
  </w:num>
  <w:num w:numId="56">
    <w:abstractNumId w:val="38"/>
  </w:num>
  <w:num w:numId="57">
    <w:abstractNumId w:val="44"/>
  </w:num>
  <w:num w:numId="58">
    <w:abstractNumId w:val="2"/>
  </w:num>
  <w:num w:numId="59">
    <w:abstractNumId w:val="36"/>
  </w:num>
  <w:num w:numId="60">
    <w:abstractNumId w:val="19"/>
  </w:num>
  <w:num w:numId="61">
    <w:abstractNumId w:val="40"/>
  </w:num>
  <w:num w:numId="62">
    <w:abstractNumId w:val="31"/>
  </w:num>
  <w:num w:numId="63">
    <w:abstractNumId w:val="49"/>
  </w:num>
  <w:num w:numId="64">
    <w:abstractNumId w:val="26"/>
  </w:num>
  <w:num w:numId="65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after="160"/>
        <w:rPr/>
      </w:pPr>
    </w:pPrDefault>
    <w:rPrDefault>
      <w:rPr>
        <w:sz w:val="22"/>
        <w:szCs w:val="22"/>
        <w:shd w:val="clear"/>
        <w:rFonts w:asciiTheme="minorHAnsi" w:eastAsiaTheme="minorEastAsia" w:hAnsiTheme="minorHAnsi" w:cstheme="minorBidi"/>
        <w:lang w:bidi="ar-SA" w:eastAsia="ko-KR" w:val="en-US"/>
      </w:rPr>
    </w:rPrDefault>
  </w:docDefaults>
  <w:style w:default="1" w:styleId="PO1" w:type="paragraph">
    <w:name w:val="Normal"/>
    <w:qFormat/>
    <w:pPr>
      <w:rPr/>
      <w:wordWrap w:val="0"/>
      <w:widowControl w:val="0"/>
      <w:autoSpaceDE w:val="0"/>
      <w:autoSpaceDN w:val="0"/>
    </w:pPr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6" w:type="paragraph">
    <w:name w:val="Title"/>
    <w:basedOn w:val="PO1"/>
    <w:next w:val="PO1"/>
    <w:link w:val="PO160"/>
    <w:qFormat/>
    <w:uiPriority w:val="10"/>
    <w:pPr>
      <w:jc w:val="center"/>
      <w:spacing w:after="80"/>
      <w:contextualSpacing w:val="1"/>
      <w:rPr/>
    </w:pPr>
    <w:rPr>
      <w:spacing w:val="-10"/>
      <w:sz w:val="56"/>
      <w:szCs w:val="56"/>
      <w:shd w:val="clear"/>
      <w:rFonts w:asciiTheme="majorHAnsi" w:eastAsiaTheme="majorEastAsia" w:hAnsiTheme="majorHAnsi" w:cstheme="majorBidi"/>
    </w:rPr>
  </w:style>
  <w:style w:styleId="PO7" w:type="paragraph">
    <w:name w:val="heading 1"/>
    <w:basedOn w:val="PO1"/>
    <w:next w:val="PO1"/>
    <w:link w:val="PO151"/>
    <w:qFormat/>
    <w:uiPriority w:val="9"/>
    <w:pPr>
      <w:spacing w:before="280" w:after="80"/>
      <w:rPr/>
      <w:outlineLvl w:val="0"/>
    </w:pPr>
    <w:rPr>
      <w:color w:val="000000" w:themeColor="text1"/>
      <w:sz w:val="32"/>
      <w:szCs w:val="32"/>
      <w:shd w:val="clear"/>
      <w:rFonts w:asciiTheme="majorHAnsi" w:eastAsiaTheme="majorEastAsia" w:hAnsiTheme="majorHAnsi" w:cstheme="majorBidi"/>
    </w:rPr>
  </w:style>
  <w:style w:styleId="PO8" w:type="paragraph">
    <w:name w:val="heading 2"/>
    <w:basedOn w:val="PO1"/>
    <w:next w:val="PO1"/>
    <w:link w:val="PO152"/>
    <w:qFormat/>
    <w:uiPriority w:val="9"/>
    <w:unhideWhenUsed/>
    <w:pPr>
      <w:spacing w:before="160" w:after="80"/>
      <w:rPr/>
      <w:outlineLvl w:val="1"/>
    </w:pPr>
    <w:rPr>
      <w:color w:val="000000" w:themeColor="text1"/>
      <w:sz w:val="28"/>
      <w:szCs w:val="28"/>
      <w:shd w:val="clear"/>
      <w:rFonts w:asciiTheme="majorHAnsi" w:eastAsiaTheme="majorEastAsia" w:hAnsiTheme="majorHAnsi" w:cstheme="majorBidi"/>
    </w:rPr>
  </w:style>
  <w:style w:styleId="PO9" w:type="paragraph">
    <w:name w:val="heading 3"/>
    <w:basedOn w:val="PO1"/>
    <w:next w:val="PO1"/>
    <w:link w:val="PO153"/>
    <w:qFormat/>
    <w:uiPriority w:val="9"/>
    <w:unhideWhenUsed/>
    <w:pPr>
      <w:spacing w:before="160" w:after="80"/>
      <w:rPr/>
      <w:outlineLvl w:val="2"/>
    </w:pPr>
    <w:rPr>
      <w:color w:val="000000" w:themeColor="text1"/>
      <w:sz w:val="24"/>
      <w:szCs w:val="24"/>
      <w:shd w:val="clear"/>
      <w:rFonts w:asciiTheme="majorHAnsi" w:eastAsiaTheme="majorEastAsia" w:hAnsiTheme="majorHAnsi" w:cstheme="majorBidi"/>
    </w:rPr>
  </w:style>
  <w:style w:styleId="PO10" w:type="paragraph">
    <w:name w:val="heading 4"/>
    <w:basedOn w:val="PO1"/>
    <w:next w:val="PO1"/>
    <w:link w:val="PO154"/>
    <w:qFormat/>
    <w:uiPriority w:val="9"/>
    <w:unhideWhenUsed/>
    <w:pPr>
      <w:spacing w:before="80" w:after="40"/>
      <w:rPr/>
      <w:outlineLvl w:val="3"/>
    </w:pPr>
    <w:rPr>
      <w:color w:val="000000" w:themeColor="text1"/>
      <w:shd w:val="clear"/>
      <w:rFonts w:asciiTheme="majorHAnsi" w:eastAsiaTheme="majorEastAsia" w:hAnsiTheme="majorHAnsi" w:cstheme="majorBidi"/>
    </w:rPr>
  </w:style>
  <w:style w:styleId="PO11" w:type="paragraph">
    <w:name w:val="heading 5"/>
    <w:basedOn w:val="PO1"/>
    <w:next w:val="PO1"/>
    <w:link w:val="PO155"/>
    <w:qFormat/>
    <w:uiPriority w:val="9"/>
    <w:unhideWhenUsed/>
    <w:pPr>
      <w:spacing w:before="80" w:after="40"/>
      <w:ind w:left="100" w:firstLine="0" w:leftChars="100"/>
      <w:rPr/>
      <w:outlineLvl w:val="4"/>
    </w:pPr>
    <w:rPr>
      <w:color w:val="000000" w:themeColor="text1"/>
      <w:shd w:val="clear"/>
      <w:rFonts w:asciiTheme="majorHAnsi" w:eastAsiaTheme="majorEastAsia" w:hAnsiTheme="majorHAnsi" w:cstheme="majorBidi"/>
    </w:rPr>
  </w:style>
  <w:style w:styleId="PO12" w:type="paragraph">
    <w:name w:val="heading 6"/>
    <w:basedOn w:val="PO1"/>
    <w:next w:val="PO1"/>
    <w:link w:val="PO156"/>
    <w:qFormat/>
    <w:uiPriority w:val="9"/>
    <w:semiHidden/>
    <w:unhideWhenUsed/>
    <w:pPr>
      <w:spacing w:before="80" w:after="40"/>
      <w:ind w:left="200" w:firstLine="0" w:leftChars="200"/>
      <w:rPr/>
      <w:outlineLvl w:val="5"/>
    </w:pPr>
    <w:rPr>
      <w:color w:val="000000" w:themeColor="text1"/>
      <w:shd w:val="clear"/>
      <w:rFonts w:asciiTheme="majorHAnsi" w:eastAsiaTheme="majorEastAsia" w:hAnsiTheme="majorHAnsi" w:cstheme="majorBidi"/>
    </w:rPr>
  </w:style>
  <w:style w:styleId="PO13" w:type="paragraph">
    <w:name w:val="heading 7"/>
    <w:basedOn w:val="PO1"/>
    <w:next w:val="PO1"/>
    <w:link w:val="PO157"/>
    <w:qFormat/>
    <w:uiPriority w:val="9"/>
    <w:semiHidden/>
    <w:unhideWhenUsed/>
    <w:pPr>
      <w:spacing w:before="80" w:after="40"/>
      <w:ind w:left="300" w:firstLine="0" w:leftChars="300"/>
      <w:rPr/>
      <w:outlineLvl w:val="6"/>
    </w:pPr>
    <w:rPr>
      <w:color w:val="000000" w:themeColor="text1"/>
      <w:shd w:val="clear"/>
      <w:rFonts w:asciiTheme="majorHAnsi" w:eastAsiaTheme="majorEastAsia" w:hAnsiTheme="majorHAnsi" w:cstheme="majorBidi"/>
    </w:rPr>
  </w:style>
  <w:style w:styleId="PO14" w:type="paragraph">
    <w:name w:val="heading 8"/>
    <w:basedOn w:val="PO1"/>
    <w:next w:val="PO1"/>
    <w:link w:val="PO158"/>
    <w:qFormat/>
    <w:uiPriority w:val="9"/>
    <w:semiHidden/>
    <w:unhideWhenUsed/>
    <w:pPr>
      <w:spacing w:before="80" w:after="40"/>
      <w:ind w:left="400" w:firstLine="0" w:leftChars="400"/>
      <w:rPr/>
      <w:outlineLvl w:val="7"/>
    </w:pPr>
    <w:rPr>
      <w:color w:val="000000" w:themeColor="text1"/>
      <w:shd w:val="clear"/>
      <w:rFonts w:asciiTheme="majorHAnsi" w:eastAsiaTheme="majorEastAsia" w:hAnsiTheme="majorHAnsi" w:cstheme="majorBidi"/>
    </w:rPr>
  </w:style>
  <w:style w:styleId="PO15" w:type="paragraph">
    <w:name w:val="heading 9"/>
    <w:basedOn w:val="PO1"/>
    <w:next w:val="PO1"/>
    <w:link w:val="PO159"/>
    <w:qFormat/>
    <w:uiPriority w:val="9"/>
    <w:semiHidden/>
    <w:unhideWhenUsed/>
    <w:pPr>
      <w:spacing w:before="80" w:after="40"/>
      <w:ind w:left="500" w:firstLine="0" w:leftChars="500"/>
      <w:rPr/>
      <w:outlineLvl w:val="8"/>
    </w:pPr>
    <w:rPr>
      <w:color w:val="000000" w:themeColor="text1"/>
      <w:shd w:val="clear"/>
      <w:rFonts w:asciiTheme="majorHAnsi" w:eastAsiaTheme="majorEastAsia" w:hAnsiTheme="majorHAnsi" w:cstheme="majorBidi"/>
    </w:rPr>
  </w:style>
  <w:style w:styleId="PO16" w:type="paragraph">
    <w:name w:val="Subtitle"/>
    <w:basedOn w:val="PO1"/>
    <w:next w:val="PO1"/>
    <w:link w:val="PO161"/>
    <w:qFormat/>
    <w:uiPriority w:val="11"/>
    <w:pPr>
      <w:numPr>
        <w:ilvl w:val="1"/>
      </w:numPr>
      <w:jc w:val="center"/>
      <w:rPr/>
    </w:pPr>
    <w:rPr>
      <w:spacing w:val="15"/>
      <w:color w:val="595959" w:themeColor="text1" w:themeTint="A5"/>
      <w:sz w:val="28"/>
      <w:szCs w:val="28"/>
      <w:shd w:val="clear"/>
      <w:rFonts w:asciiTheme="majorHAnsi" w:eastAsiaTheme="majorEastAsia" w:hAnsiTheme="majorHAnsi" w:cstheme="majorBidi"/>
    </w:rPr>
  </w:style>
  <w:style w:styleId="PO19" w:type="character">
    <w:name w:val="Intense Emphasis"/>
    <w:basedOn w:val="PO2"/>
    <w:qFormat/>
    <w:uiPriority w:val="21"/>
    <w:rPr>
      <w:i w:val="1"/>
      <w:color w:val="0F4761" w:themeColor="accent1" w:themeShade="BF"/>
      <w:shd w:val="clear"/>
    </w:rPr>
  </w:style>
  <w:style w:styleId="PO20" w:type="character">
    <w:name w:val="Strong"/>
    <w:basedOn w:val="PO2"/>
    <w:qFormat/>
    <w:uiPriority w:val="22"/>
    <w:rPr>
      <w:b w:val="1"/>
      <w:shd w:val="clear"/>
    </w:rPr>
  </w:style>
  <w:style w:styleId="PO21" w:type="paragraph">
    <w:name w:val="Quote"/>
    <w:basedOn w:val="PO1"/>
    <w:next w:val="PO1"/>
    <w:link w:val="PO162"/>
    <w:qFormat/>
    <w:uiPriority w:val="29"/>
    <w:pPr>
      <w:jc w:val="center"/>
      <w:spacing w:before="160"/>
      <w:rPr/>
    </w:pPr>
    <w:rPr>
      <w:i w:val="1"/>
      <w:color w:val="404040" w:themeColor="text1" w:themeTint="BF"/>
      <w:shd w:val="clear"/>
    </w:rPr>
  </w:style>
  <w:style w:styleId="PO22" w:type="paragraph">
    <w:name w:val="Intense Quote"/>
    <w:basedOn w:val="PO1"/>
    <w:next w:val="PO1"/>
    <w:link w:val="PO163"/>
    <w:qFormat/>
    <w:uiPriority w:val="30"/>
    <w:pPr>
      <w:jc w:val="center"/>
      <w:spacing w:before="360" w:after="360"/>
      <w:pBdr>
        <w:top w:sz="4" w:space="10" w:color="0F4761" w:themeColor="accent1" w:themeShade="BF" w:val="single"/>
        <w:bottom w:sz="4" w:space="10" w:color="0F4761" w:themeColor="accent1" w:themeShade="BF" w:val="single"/>
      </w:pBdr>
      <w:ind w:left="864" w:right="864" w:firstLine="0"/>
      <w:rPr/>
    </w:pPr>
    <w:rPr>
      <w:i w:val="1"/>
      <w:color w:val="0F4761" w:themeColor="accent1" w:themeShade="BF"/>
      <w:shd w:val="clear"/>
    </w:rPr>
  </w:style>
  <w:style w:styleId="PO24" w:type="character">
    <w:name w:val="Intense Reference"/>
    <w:basedOn w:val="PO2"/>
    <w:qFormat/>
    <w:uiPriority w:val="32"/>
    <w:rPr>
      <w:spacing w:val="5"/>
      <w:b w:val="1"/>
      <w:color w:val="0F4761" w:themeColor="accent1" w:themeShade="BF"/>
      <w:shd w:val="clear"/>
      <w:smallCaps w:val="1"/>
    </w:rPr>
  </w:style>
  <w:style w:styleId="PO26" w:type="paragraph">
    <w:name w:val="List Paragraph"/>
    <w:basedOn w:val="PO1"/>
    <w:qFormat/>
    <w:uiPriority w:val="34"/>
    <w:pPr>
      <w:contextualSpacing w:val="1"/>
      <w:ind w:left="720" w:firstLine="0"/>
      <w:rPr/>
    </w:pPr>
  </w:style>
  <w:style w:styleId="PO37" w:type="table">
    <w:name w:val="Table Grid"/>
    <w:basedOn w:val="PO3"/>
    <w:uiPriority w:val="39"/>
    <w:pPr>
      <w:spacing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8" w:type="table">
    <w:name w:val="Grid Table Light"/>
    <w:basedOn w:val="PO3"/>
    <w:uiPriority w:val="-1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-1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-1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shd w:val="clear"/>
        <w:caps w:val="1"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shd w:val="clear"/>
        <w:caps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shd w:val="clear"/>
        <w:caps w:val="1"/>
      </w:rPr>
      <w:tcPr>
        <w:tcBorders>
          <w:left w:val="nil"/>
        </w:tcBorders>
      </w:tcPr>
    </w:tblStylePr>
    <w:tblStylePr w:type="lastRow">
      <w:rPr>
        <w:b w:val="1"/>
        <w:shd w:val="clear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43" w:type="table">
    <w:name w:val="Plain Table 5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-1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-1"/>
    <w:pPr>
      <w:spacing w:lineRule="auto" w:line="240" w:after="0"/>
      <w:rPr/>
    </w:pPr>
    <w:tblPr>
      <w:tblBorders>
        <w:bottom w:val="single" w:color="83CBEB" w:themeColor="accent1" w:themeTint="66" w:sz="4"/>
        <w:insideH w:val="single" w:color="83CBEB" w:themeColor="accent1" w:themeTint="66" w:sz="4"/>
        <w:insideV w:val="single" w:color="83CBEB" w:themeColor="accent1" w:themeTint="66" w:sz="4"/>
        <w:left w:val="single" w:color="83CBEB" w:themeColor="accent1" w:themeTint="66" w:sz="4"/>
        <w:right w:val="single" w:color="83CBEB" w:themeColor="accent1" w:themeTint="66" w:sz="4"/>
        <w:top w:val="single" w:color="83CBEB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46B1E1" w:themeColor="accen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46B1E1" w:themeColor="accent1" w:themeTint="99" w:sz="2"/>
        </w:tcBorders>
      </w:tcPr>
    </w:tblStylePr>
  </w:style>
  <w:style w:styleId="PO46" w:type="table">
    <w:name w:val="Grid Table 1 Light Accent 2"/>
    <w:basedOn w:val="PO3"/>
    <w:uiPriority w:val="-1"/>
    <w:pPr>
      <w:spacing w:lineRule="auto" w:line="240" w:after="0"/>
      <w:rPr/>
    </w:pPr>
    <w:tblPr>
      <w:tblBorders>
        <w:bottom w:val="single" w:color="F6C6AD" w:themeColor="accent2" w:themeTint="66" w:sz="4"/>
        <w:insideH w:val="single" w:color="F6C6AD" w:themeColor="accent2" w:themeTint="66" w:sz="4"/>
        <w:insideV w:val="single" w:color="F6C6AD" w:themeColor="accent2" w:themeTint="66" w:sz="4"/>
        <w:left w:val="single" w:color="F6C6AD" w:themeColor="accent2" w:themeTint="66" w:sz="4"/>
        <w:right w:val="single" w:color="F6C6AD" w:themeColor="accent2" w:themeTint="66" w:sz="4"/>
        <w:top w:val="single" w:color="F6C6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2AA84" w:themeColor="accent2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2AA84" w:themeColor="accent2" w:themeTint="99" w:sz="2"/>
        </w:tcBorders>
      </w:tcPr>
    </w:tblStylePr>
  </w:style>
  <w:style w:styleId="PO47" w:type="table">
    <w:name w:val="Grid Table 1 Light Accent 3"/>
    <w:basedOn w:val="PO3"/>
    <w:uiPriority w:val="-1"/>
    <w:pPr>
      <w:spacing w:lineRule="auto" w:line="240" w:after="0"/>
      <w:rPr/>
    </w:pPr>
    <w:tblPr>
      <w:tblBorders>
        <w:bottom w:val="single" w:color="84E291" w:themeColor="accent3" w:themeTint="66" w:sz="4"/>
        <w:insideH w:val="single" w:color="84E291" w:themeColor="accent3" w:themeTint="66" w:sz="4"/>
        <w:insideV w:val="single" w:color="84E291" w:themeColor="accent3" w:themeTint="66" w:sz="4"/>
        <w:left w:val="single" w:color="84E291" w:themeColor="accent3" w:themeTint="66" w:sz="4"/>
        <w:right w:val="single" w:color="84E291" w:themeColor="accent3" w:themeTint="66" w:sz="4"/>
        <w:top w:val="single" w:color="84E291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47D45A" w:themeColor="accent3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47D45A" w:themeColor="accent3" w:themeTint="99" w:sz="2"/>
        </w:tcBorders>
      </w:tcPr>
    </w:tblStylePr>
  </w:style>
  <w:style w:styleId="PO48" w:type="table">
    <w:name w:val="Grid Table 1 Light Accent 4"/>
    <w:basedOn w:val="PO3"/>
    <w:uiPriority w:val="-1"/>
    <w:pPr>
      <w:spacing w:lineRule="auto" w:line="240" w:after="0"/>
      <w:rPr/>
    </w:pPr>
    <w:tblPr>
      <w:tblBorders>
        <w:bottom w:val="single" w:color="96DCF8" w:themeColor="accent4" w:themeTint="66" w:sz="4"/>
        <w:insideH w:val="single" w:color="96DCF8" w:themeColor="accent4" w:themeTint="66" w:sz="4"/>
        <w:insideV w:val="single" w:color="96DCF8" w:themeColor="accent4" w:themeTint="66" w:sz="4"/>
        <w:left w:val="single" w:color="96DCF8" w:themeColor="accent4" w:themeTint="66" w:sz="4"/>
        <w:right w:val="single" w:color="96DCF8" w:themeColor="accent4" w:themeTint="66" w:sz="4"/>
        <w:top w:val="single" w:color="96DCF8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1CBF4" w:themeColor="accent4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1CBF4" w:themeColor="accent4" w:themeTint="99" w:sz="2"/>
        </w:tcBorders>
      </w:tcPr>
    </w:tblStylePr>
  </w:style>
  <w:style w:styleId="PO49" w:type="table">
    <w:name w:val="Grid Table 1 Light Accent 5"/>
    <w:basedOn w:val="PO3"/>
    <w:uiPriority w:val="-1"/>
    <w:pPr>
      <w:spacing w:lineRule="auto" w:line="240" w:after="0"/>
      <w:rPr/>
    </w:pPr>
    <w:tblPr>
      <w:tblBorders>
        <w:bottom w:val="single" w:color="E59EDD" w:themeColor="accent5" w:themeTint="66" w:sz="4"/>
        <w:insideH w:val="single" w:color="E59EDD" w:themeColor="accent5" w:themeTint="66" w:sz="4"/>
        <w:insideV w:val="single" w:color="E59EDD" w:themeColor="accent5" w:themeTint="66" w:sz="4"/>
        <w:left w:val="single" w:color="E59EDD" w:themeColor="accent5" w:themeTint="66" w:sz="4"/>
        <w:right w:val="single" w:color="E59EDD" w:themeColor="accent5" w:themeTint="66" w:sz="4"/>
        <w:top w:val="single" w:color="E59EDD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D86ECC" w:themeColor="accent5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D86ECC" w:themeColor="accent5" w:themeTint="99" w:sz="2"/>
        </w:tcBorders>
      </w:tcPr>
    </w:tblStylePr>
  </w:style>
  <w:style w:styleId="PO50" w:type="table">
    <w:name w:val="Grid Table 1 Light Accent 6"/>
    <w:basedOn w:val="PO3"/>
    <w:uiPriority w:val="-1"/>
    <w:pPr>
      <w:spacing w:lineRule="auto" w:line="240" w:after="0"/>
      <w:rPr/>
    </w:pPr>
    <w:tblPr>
      <w:tblBorders>
        <w:bottom w:val="single" w:color="B4E5A2" w:themeColor="accent6" w:themeTint="66" w:sz="4"/>
        <w:insideH w:val="single" w:color="B4E5A2" w:themeColor="accent6" w:themeTint="66" w:sz="4"/>
        <w:insideV w:val="single" w:color="B4E5A2" w:themeColor="accent6" w:themeTint="66" w:sz="4"/>
        <w:left w:val="single" w:color="B4E5A2" w:themeColor="accent6" w:themeTint="66" w:sz="4"/>
        <w:right w:val="single" w:color="B4E5A2" w:themeColor="accent6" w:themeTint="66" w:sz="4"/>
        <w:top w:val="single" w:color="B4E5A2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8ED973" w:themeColor="accent6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8ED973" w:themeColor="accent6" w:themeTint="99" w:sz="2"/>
        </w:tcBorders>
      </w:tcPr>
    </w:tblStylePr>
  </w:style>
  <w:style w:styleId="PO51" w:type="table">
    <w:name w:val="Grid Table 2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-1"/>
    <w:pPr>
      <w:spacing w:lineRule="auto" w:line="240" w:after="0"/>
      <w:rPr/>
    </w:pPr>
    <w:tblPr>
      <w:tblBorders>
        <w:bottom w:val="single" w:color="46B1E1" w:themeColor="accent1" w:themeTint="99" w:sz="2"/>
        <w:insideH w:val="single" w:color="46B1E1" w:themeColor="accent1" w:themeTint="99" w:sz="2"/>
        <w:insideV w:val="single" w:color="46B1E1" w:themeColor="accent1" w:themeTint="99" w:sz="2"/>
        <w:top w:val="single" w:color="46B1E1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1E5F5" w:themeFill="accent1" w:themeFillTint="33" w:color="auto" w:val="clear"/>
      </w:tcPr>
    </w:tblStylePr>
    <w:tblStylePr w:type="band1Vert">
      <w:tcPr>
        <w:shd w:fill="C1E5F5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46B1E1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46B1E1" w:themeColor="accent1" w:themeTint="99" w:sz="2"/>
        </w:tcBorders>
      </w:tcPr>
    </w:tblStylePr>
  </w:style>
  <w:style w:styleId="PO53" w:type="table">
    <w:name w:val="Grid Table 2 Accent 2"/>
    <w:basedOn w:val="PO3"/>
    <w:uiPriority w:val="-1"/>
    <w:pPr>
      <w:spacing w:lineRule="auto" w:line="240" w:after="0"/>
      <w:rPr/>
    </w:pPr>
    <w:tblPr>
      <w:tblBorders>
        <w:bottom w:val="single" w:color="F2AA84" w:themeColor="accent2" w:themeTint="99" w:sz="2"/>
        <w:insideH w:val="single" w:color="F2AA84" w:themeColor="accent2" w:themeTint="99" w:sz="2"/>
        <w:insideV w:val="single" w:color="F2AA84" w:themeColor="accent2" w:themeTint="99" w:sz="2"/>
        <w:top w:val="single" w:color="F2AA84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3D6" w:themeFill="accent2" w:themeFillTint="33" w:color="auto" w:val="clear"/>
      </w:tcPr>
    </w:tblStylePr>
    <w:tblStylePr w:type="band1Vert">
      <w:tcPr>
        <w:shd w:fill="FBE3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F2AA84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2AA84" w:themeColor="accent2" w:themeTint="99" w:sz="2"/>
        </w:tcBorders>
      </w:tcPr>
    </w:tblStylePr>
  </w:style>
  <w:style w:styleId="PO54" w:type="table">
    <w:name w:val="Grid Table 2 Accent 3"/>
    <w:basedOn w:val="PO3"/>
    <w:uiPriority w:val="-1"/>
    <w:pPr>
      <w:spacing w:lineRule="auto" w:line="240" w:after="0"/>
      <w:rPr/>
    </w:pPr>
    <w:tblPr>
      <w:tblBorders>
        <w:bottom w:val="single" w:color="47D45A" w:themeColor="accent3" w:themeTint="99" w:sz="2"/>
        <w:insideH w:val="single" w:color="47D45A" w:themeColor="accent3" w:themeTint="99" w:sz="2"/>
        <w:insideV w:val="single" w:color="47D45A" w:themeColor="accent3" w:themeTint="99" w:sz="2"/>
        <w:top w:val="single" w:color="47D45A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2F1C8" w:themeFill="accent3" w:themeFillTint="33" w:color="auto" w:val="clear"/>
      </w:tcPr>
    </w:tblStylePr>
    <w:tblStylePr w:type="band1Vert">
      <w:tcPr>
        <w:shd w:fill="C2F1C8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47D45A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47D45A" w:themeColor="accent3" w:themeTint="99" w:sz="2"/>
        </w:tcBorders>
      </w:tcPr>
    </w:tblStylePr>
  </w:style>
  <w:style w:styleId="PO55" w:type="table">
    <w:name w:val="Grid Table 2 Accent 4"/>
    <w:basedOn w:val="PO3"/>
    <w:uiPriority w:val="-1"/>
    <w:pPr>
      <w:spacing w:lineRule="auto" w:line="240" w:after="0"/>
      <w:rPr/>
    </w:pPr>
    <w:tblPr>
      <w:tblBorders>
        <w:bottom w:val="single" w:color="61CBF4" w:themeColor="accent4" w:themeTint="99" w:sz="2"/>
        <w:insideH w:val="single" w:color="61CBF4" w:themeColor="accent4" w:themeTint="99" w:sz="2"/>
        <w:insideV w:val="single" w:color="61CBF4" w:themeColor="accent4" w:themeTint="99" w:sz="2"/>
        <w:top w:val="single" w:color="61CBF4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AEEFB" w:themeFill="accent4" w:themeFillTint="33" w:color="auto" w:val="clear"/>
      </w:tcPr>
    </w:tblStylePr>
    <w:tblStylePr w:type="band1Vert">
      <w:tcPr>
        <w:shd w:fill="CAEEFB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61CBF4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1CBF4" w:themeColor="accent4" w:themeTint="99" w:sz="2"/>
        </w:tcBorders>
      </w:tcPr>
    </w:tblStylePr>
  </w:style>
  <w:style w:styleId="PO56" w:type="table">
    <w:name w:val="Grid Table 2 Accent 5"/>
    <w:basedOn w:val="PO3"/>
    <w:uiPriority w:val="-1"/>
    <w:pPr>
      <w:spacing w:lineRule="auto" w:line="240" w:after="0"/>
      <w:rPr/>
    </w:pPr>
    <w:tblPr>
      <w:tblBorders>
        <w:bottom w:val="single" w:color="D86ECC" w:themeColor="accent5" w:themeTint="99" w:sz="2"/>
        <w:insideH w:val="single" w:color="D86ECC" w:themeColor="accent5" w:themeTint="99" w:sz="2"/>
        <w:insideV w:val="single" w:color="D86ECC" w:themeColor="accent5" w:themeTint="99" w:sz="2"/>
        <w:top w:val="single" w:color="D86EC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CFEE" w:themeFill="accent5" w:themeFillTint="33" w:color="auto" w:val="clear"/>
      </w:tcPr>
    </w:tblStylePr>
    <w:tblStylePr w:type="band1Vert">
      <w:tcPr>
        <w:shd w:fill="F2CFEE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D86ECC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D86ECC" w:themeColor="accent5" w:themeTint="99" w:sz="2"/>
        </w:tcBorders>
      </w:tcPr>
    </w:tblStylePr>
  </w:style>
  <w:style w:styleId="PO57" w:type="table">
    <w:name w:val="Grid Table 2 Accent 6"/>
    <w:basedOn w:val="PO3"/>
    <w:uiPriority w:val="-1"/>
    <w:pPr>
      <w:spacing w:lineRule="auto" w:line="240" w:after="0"/>
      <w:rPr/>
    </w:pPr>
    <w:tblPr>
      <w:tblBorders>
        <w:bottom w:val="single" w:color="8ED973" w:themeColor="accent6" w:themeTint="99" w:sz="2"/>
        <w:insideH w:val="single" w:color="8ED973" w:themeColor="accent6" w:themeTint="99" w:sz="2"/>
        <w:insideV w:val="single" w:color="8ED973" w:themeColor="accent6" w:themeTint="99" w:sz="2"/>
        <w:top w:val="single" w:color="8ED973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9F2D0" w:themeFill="accent6" w:themeFillTint="33" w:color="auto" w:val="clear"/>
      </w:tcPr>
    </w:tblStylePr>
    <w:tblStylePr w:type="band1Vert">
      <w:tcPr>
        <w:shd w:fill="D9F2D0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8ED973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8ED973" w:themeColor="accent6" w:themeTint="99" w:sz="2"/>
        </w:tcBorders>
      </w:tcPr>
    </w:tblStylePr>
  </w:style>
  <w:style w:styleId="PO58" w:type="table">
    <w:name w:val="Grid Table 3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-1"/>
    <w:pPr>
      <w:spacing w:lineRule="auto" w:line="240" w:after="0"/>
      <w:rPr/>
    </w:pPr>
    <w:tblPr>
      <w:tblBorders>
        <w:bottom w:val="single" w:color="46B1E1" w:themeColor="accent1" w:themeTint="99" w:sz="4"/>
        <w:insideH w:val="single" w:color="46B1E1" w:themeColor="accent1" w:themeTint="99" w:sz="4"/>
        <w:insideV w:val="single" w:color="46B1E1" w:themeColor="accent1" w:themeTint="99" w:sz="4"/>
        <w:left w:val="single" w:color="46B1E1" w:themeColor="accent1" w:themeTint="99" w:sz="4"/>
        <w:right w:val="single" w:color="46B1E1" w:themeColor="accent1" w:themeTint="99" w:sz="4"/>
        <w:top w:val="single" w:color="46B1E1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1E5F5" w:themeFill="accent1" w:themeFillTint="33" w:color="auto" w:val="clear"/>
      </w:tcPr>
    </w:tblStylePr>
    <w:tblStylePr w:type="band1Vert">
      <w:tcPr>
        <w:shd w:fill="C1E5F5" w:themeFill="accen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46B1E1" w:themeColor="accent1" w:themeTint="99" w:sz="4"/>
        </w:tcBorders>
      </w:tcPr>
    </w:tblStylePr>
    <w:tblStylePr w:type="nwCell">
      <w:tcPr>
        <w:tcBorders>
          <w:bottom w:val="single" w:color="46B1E1" w:themeColor="accent1" w:themeTint="99" w:sz="4"/>
        </w:tcBorders>
      </w:tcPr>
    </w:tblStylePr>
    <w:tblStylePr w:type="seCell">
      <w:tcPr>
        <w:tcBorders>
          <w:top w:val="single" w:color="46B1E1" w:themeColor="accent1" w:themeTint="99" w:sz="4"/>
        </w:tcBorders>
      </w:tcPr>
    </w:tblStylePr>
    <w:tblStylePr w:type="swCell">
      <w:tcPr>
        <w:tcBorders>
          <w:top w:val="single" w:color="46B1E1" w:themeColor="accent1" w:themeTint="99" w:sz="4"/>
        </w:tcBorders>
      </w:tcPr>
    </w:tblStylePr>
  </w:style>
  <w:style w:styleId="PO60" w:type="table">
    <w:name w:val="Grid Table 3 Accent 2"/>
    <w:basedOn w:val="PO3"/>
    <w:uiPriority w:val="-1"/>
    <w:pPr>
      <w:spacing w:lineRule="auto" w:line="240" w:after="0"/>
      <w:rPr/>
    </w:pPr>
    <w:tblPr>
      <w:tblBorders>
        <w:bottom w:val="single" w:color="F2AA84" w:themeColor="accent2" w:themeTint="99" w:sz="4"/>
        <w:insideH w:val="single" w:color="F2AA84" w:themeColor="accent2" w:themeTint="99" w:sz="4"/>
        <w:insideV w:val="single" w:color="F2AA84" w:themeColor="accent2" w:themeTint="99" w:sz="4"/>
        <w:left w:val="single" w:color="F2AA84" w:themeColor="accent2" w:themeTint="99" w:sz="4"/>
        <w:right w:val="single" w:color="F2AA84" w:themeColor="accent2" w:themeTint="99" w:sz="4"/>
        <w:top w:val="single" w:color="F2AA8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3D6" w:themeFill="accent2" w:themeFillTint="33" w:color="auto" w:val="clear"/>
      </w:tcPr>
    </w:tblStylePr>
    <w:tblStylePr w:type="band1Vert">
      <w:tcPr>
        <w:shd w:fill="FBE3D6" w:themeFill="accent2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2AA84" w:themeColor="accent2" w:themeTint="99" w:sz="4"/>
        </w:tcBorders>
      </w:tcPr>
    </w:tblStylePr>
    <w:tblStylePr w:type="nwCell">
      <w:tcPr>
        <w:tcBorders>
          <w:bottom w:val="single" w:color="F2AA84" w:themeColor="accent2" w:themeTint="99" w:sz="4"/>
        </w:tcBorders>
      </w:tcPr>
    </w:tblStylePr>
    <w:tblStylePr w:type="seCell">
      <w:tcPr>
        <w:tcBorders>
          <w:top w:val="single" w:color="F2AA84" w:themeColor="accent2" w:themeTint="99" w:sz="4"/>
        </w:tcBorders>
      </w:tcPr>
    </w:tblStylePr>
    <w:tblStylePr w:type="swCell">
      <w:tcPr>
        <w:tcBorders>
          <w:top w:val="single" w:color="F2AA84" w:themeColor="accent2" w:themeTint="99" w:sz="4"/>
        </w:tcBorders>
      </w:tcPr>
    </w:tblStylePr>
  </w:style>
  <w:style w:styleId="PO61" w:type="table">
    <w:name w:val="Grid Table 3 Accent 3"/>
    <w:basedOn w:val="PO3"/>
    <w:uiPriority w:val="-1"/>
    <w:pPr>
      <w:spacing w:lineRule="auto" w:line="240" w:after="0"/>
      <w:rPr/>
    </w:pPr>
    <w:tblPr>
      <w:tblBorders>
        <w:bottom w:val="single" w:color="47D45A" w:themeColor="accent3" w:themeTint="99" w:sz="4"/>
        <w:insideH w:val="single" w:color="47D45A" w:themeColor="accent3" w:themeTint="99" w:sz="4"/>
        <w:insideV w:val="single" w:color="47D45A" w:themeColor="accent3" w:themeTint="99" w:sz="4"/>
        <w:left w:val="single" w:color="47D45A" w:themeColor="accent3" w:themeTint="99" w:sz="4"/>
        <w:right w:val="single" w:color="47D45A" w:themeColor="accent3" w:themeTint="99" w:sz="4"/>
        <w:top w:val="single" w:color="47D45A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2F1C8" w:themeFill="accent3" w:themeFillTint="33" w:color="auto" w:val="clear"/>
      </w:tcPr>
    </w:tblStylePr>
    <w:tblStylePr w:type="band1Vert">
      <w:tcPr>
        <w:shd w:fill="C2F1C8" w:themeFill="accent3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47D45A" w:themeColor="accent3" w:themeTint="99" w:sz="4"/>
        </w:tcBorders>
      </w:tcPr>
    </w:tblStylePr>
    <w:tblStylePr w:type="nwCell">
      <w:tcPr>
        <w:tcBorders>
          <w:bottom w:val="single" w:color="47D45A" w:themeColor="accent3" w:themeTint="99" w:sz="4"/>
        </w:tcBorders>
      </w:tcPr>
    </w:tblStylePr>
    <w:tblStylePr w:type="seCell">
      <w:tcPr>
        <w:tcBorders>
          <w:top w:val="single" w:color="47D45A" w:themeColor="accent3" w:themeTint="99" w:sz="4"/>
        </w:tcBorders>
      </w:tcPr>
    </w:tblStylePr>
    <w:tblStylePr w:type="swCell">
      <w:tcPr>
        <w:tcBorders>
          <w:top w:val="single" w:color="47D45A" w:themeColor="accent3" w:themeTint="99" w:sz="4"/>
        </w:tcBorders>
      </w:tcPr>
    </w:tblStylePr>
  </w:style>
  <w:style w:styleId="PO62" w:type="table">
    <w:name w:val="Grid Table 3 Accent 4"/>
    <w:basedOn w:val="PO3"/>
    <w:uiPriority w:val="-1"/>
    <w:pPr>
      <w:spacing w:lineRule="auto" w:line="240" w:after="0"/>
      <w:rPr/>
    </w:pPr>
    <w:tblPr>
      <w:tblBorders>
        <w:bottom w:val="single" w:color="61CBF4" w:themeColor="accent4" w:themeTint="99" w:sz="4"/>
        <w:insideH w:val="single" w:color="61CBF4" w:themeColor="accent4" w:themeTint="99" w:sz="4"/>
        <w:insideV w:val="single" w:color="61CBF4" w:themeColor="accent4" w:themeTint="99" w:sz="4"/>
        <w:left w:val="single" w:color="61CBF4" w:themeColor="accent4" w:themeTint="99" w:sz="4"/>
        <w:right w:val="single" w:color="61CBF4" w:themeColor="accent4" w:themeTint="99" w:sz="4"/>
        <w:top w:val="single" w:color="61CBF4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AEEFB" w:themeFill="accent4" w:themeFillTint="33" w:color="auto" w:val="clear"/>
      </w:tcPr>
    </w:tblStylePr>
    <w:tblStylePr w:type="band1Vert">
      <w:tcPr>
        <w:shd w:fill="CAEEFB" w:themeFill="accent4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1CBF4" w:themeColor="accent4" w:themeTint="99" w:sz="4"/>
        </w:tcBorders>
      </w:tcPr>
    </w:tblStylePr>
    <w:tblStylePr w:type="nwCell">
      <w:tcPr>
        <w:tcBorders>
          <w:bottom w:val="single" w:color="61CBF4" w:themeColor="accent4" w:themeTint="99" w:sz="4"/>
        </w:tcBorders>
      </w:tcPr>
    </w:tblStylePr>
    <w:tblStylePr w:type="seCell">
      <w:tcPr>
        <w:tcBorders>
          <w:top w:val="single" w:color="61CBF4" w:themeColor="accent4" w:themeTint="99" w:sz="4"/>
        </w:tcBorders>
      </w:tcPr>
    </w:tblStylePr>
    <w:tblStylePr w:type="swCell">
      <w:tcPr>
        <w:tcBorders>
          <w:top w:val="single" w:color="61CBF4" w:themeColor="accent4" w:themeTint="99" w:sz="4"/>
        </w:tcBorders>
      </w:tcPr>
    </w:tblStylePr>
  </w:style>
  <w:style w:styleId="PO63" w:type="table">
    <w:name w:val="Grid Table 3 Accent 5"/>
    <w:basedOn w:val="PO3"/>
    <w:uiPriority w:val="-1"/>
    <w:pPr>
      <w:spacing w:lineRule="auto" w:line="240" w:after="0"/>
      <w:rPr/>
    </w:pPr>
    <w:tblPr>
      <w:tblBorders>
        <w:bottom w:val="single" w:color="D86ECC" w:themeColor="accent5" w:themeTint="99" w:sz="4"/>
        <w:insideH w:val="single" w:color="D86ECC" w:themeColor="accent5" w:themeTint="99" w:sz="4"/>
        <w:insideV w:val="single" w:color="D86ECC" w:themeColor="accent5" w:themeTint="99" w:sz="4"/>
        <w:left w:val="single" w:color="D86ECC" w:themeColor="accent5" w:themeTint="99" w:sz="4"/>
        <w:right w:val="single" w:color="D86ECC" w:themeColor="accent5" w:themeTint="99" w:sz="4"/>
        <w:top w:val="single" w:color="D86EC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CFEE" w:themeFill="accent5" w:themeFillTint="33" w:color="auto" w:val="clear"/>
      </w:tcPr>
    </w:tblStylePr>
    <w:tblStylePr w:type="band1Vert">
      <w:tcPr>
        <w:shd w:fill="F2CFEE" w:themeFill="accent5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86ECC" w:themeColor="accent5" w:themeTint="99" w:sz="4"/>
        </w:tcBorders>
      </w:tcPr>
    </w:tblStylePr>
    <w:tblStylePr w:type="nwCell">
      <w:tcPr>
        <w:tcBorders>
          <w:bottom w:val="single" w:color="D86ECC" w:themeColor="accent5" w:themeTint="99" w:sz="4"/>
        </w:tcBorders>
      </w:tcPr>
    </w:tblStylePr>
    <w:tblStylePr w:type="seCell">
      <w:tcPr>
        <w:tcBorders>
          <w:top w:val="single" w:color="D86ECC" w:themeColor="accent5" w:themeTint="99" w:sz="4"/>
        </w:tcBorders>
      </w:tcPr>
    </w:tblStylePr>
    <w:tblStylePr w:type="swCell">
      <w:tcPr>
        <w:tcBorders>
          <w:top w:val="single" w:color="D86ECC" w:themeColor="accent5" w:themeTint="99" w:sz="4"/>
        </w:tcBorders>
      </w:tcPr>
    </w:tblStylePr>
  </w:style>
  <w:style w:styleId="PO64" w:type="table">
    <w:name w:val="Grid Table 3 Accent 6"/>
    <w:basedOn w:val="PO3"/>
    <w:uiPriority w:val="-1"/>
    <w:pPr>
      <w:spacing w:lineRule="auto" w:line="240" w:after="0"/>
      <w:rPr/>
    </w:pPr>
    <w:tblPr>
      <w:tblBorders>
        <w:bottom w:val="single" w:color="8ED973" w:themeColor="accent6" w:themeTint="99" w:sz="4"/>
        <w:insideH w:val="single" w:color="8ED973" w:themeColor="accent6" w:themeTint="99" w:sz="4"/>
        <w:insideV w:val="single" w:color="8ED973" w:themeColor="accent6" w:themeTint="99" w:sz="4"/>
        <w:left w:val="single" w:color="8ED973" w:themeColor="accent6" w:themeTint="99" w:sz="4"/>
        <w:right w:val="single" w:color="8ED973" w:themeColor="accent6" w:themeTint="99" w:sz="4"/>
        <w:top w:val="single" w:color="8ED973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9F2D0" w:themeFill="accent6" w:themeFillTint="33" w:color="auto" w:val="clear"/>
      </w:tcPr>
    </w:tblStylePr>
    <w:tblStylePr w:type="band1Vert">
      <w:tcPr>
        <w:shd w:fill="D9F2D0" w:themeFill="accent6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ED973" w:themeColor="accent6" w:themeTint="99" w:sz="4"/>
        </w:tcBorders>
      </w:tcPr>
    </w:tblStylePr>
    <w:tblStylePr w:type="nwCell">
      <w:tcPr>
        <w:tcBorders>
          <w:bottom w:val="single" w:color="8ED973" w:themeColor="accent6" w:themeTint="99" w:sz="4"/>
        </w:tcBorders>
      </w:tcPr>
    </w:tblStylePr>
    <w:tblStylePr w:type="seCell">
      <w:tcPr>
        <w:tcBorders>
          <w:top w:val="single" w:color="8ED973" w:themeColor="accent6" w:themeTint="99" w:sz="4"/>
        </w:tcBorders>
      </w:tcPr>
    </w:tblStylePr>
    <w:tblStylePr w:type="swCell">
      <w:tcPr>
        <w:tcBorders>
          <w:top w:val="single" w:color="8ED973" w:themeColor="accent6" w:themeTint="99" w:sz="4"/>
        </w:tcBorders>
      </w:tcPr>
    </w:tblStylePr>
  </w:style>
  <w:style w:styleId="PO65" w:type="table">
    <w:name w:val="Grid Table 4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-1"/>
    <w:pPr>
      <w:spacing w:lineRule="auto" w:line="240" w:after="0"/>
      <w:rPr/>
    </w:pPr>
    <w:tblPr>
      <w:tblBorders>
        <w:bottom w:val="single" w:color="46B1E1" w:themeColor="accent1" w:themeTint="99" w:sz="4"/>
        <w:insideH w:val="single" w:color="46B1E1" w:themeColor="accent1" w:themeTint="99" w:sz="4"/>
        <w:insideV w:val="single" w:color="46B1E1" w:themeColor="accent1" w:themeTint="99" w:sz="4"/>
        <w:left w:val="single" w:color="46B1E1" w:themeColor="accent1" w:themeTint="99" w:sz="4"/>
        <w:right w:val="single" w:color="46B1E1" w:themeColor="accent1" w:themeTint="99" w:sz="4"/>
        <w:top w:val="single" w:color="46B1E1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1E5F5" w:themeFill="accent1" w:themeFillTint="33" w:color="auto" w:val="clear"/>
      </w:tcPr>
    </w:tblStylePr>
    <w:tblStylePr w:type="band1Vert">
      <w:tcPr>
        <w:shd w:fill="C1E5F5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156082" w:themeFill="accent1" w:color="auto" w:val="clear"/>
        <w:tcBorders>
          <w:bottom w:val="single" w:color="156082" w:themeColor="accent1" w:sz="4"/>
          <w:insideH w:val="nil"/>
          <w:insideV w:val="nil"/>
          <w:left w:val="single" w:color="156082" w:themeColor="accent1" w:sz="4"/>
          <w:right w:val="single" w:color="156082" w:themeColor="accent1" w:sz="4"/>
          <w:top w:val="single" w:color="156082" w:themeColor="accen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156082" w:themeColor="accent1" w:sz="4"/>
        </w:tcBorders>
      </w:tcPr>
    </w:tblStylePr>
  </w:style>
  <w:style w:styleId="PO67" w:type="table">
    <w:name w:val="Grid Table 4 Accent 2"/>
    <w:basedOn w:val="PO3"/>
    <w:uiPriority w:val="-1"/>
    <w:pPr>
      <w:spacing w:lineRule="auto" w:line="240" w:after="0"/>
      <w:rPr/>
    </w:pPr>
    <w:tblPr>
      <w:tblBorders>
        <w:bottom w:val="single" w:color="F2AA84" w:themeColor="accent2" w:themeTint="99" w:sz="4"/>
        <w:insideH w:val="single" w:color="F2AA84" w:themeColor="accent2" w:themeTint="99" w:sz="4"/>
        <w:insideV w:val="single" w:color="F2AA84" w:themeColor="accent2" w:themeTint="99" w:sz="4"/>
        <w:left w:val="single" w:color="F2AA84" w:themeColor="accent2" w:themeTint="99" w:sz="4"/>
        <w:right w:val="single" w:color="F2AA84" w:themeColor="accent2" w:themeTint="99" w:sz="4"/>
        <w:top w:val="single" w:color="F2AA8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3D6" w:themeFill="accent2" w:themeFillTint="33" w:color="auto" w:val="clear"/>
      </w:tcPr>
    </w:tblStylePr>
    <w:tblStylePr w:type="band1Vert">
      <w:tcPr>
        <w:shd w:fill="FBE3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E97132" w:themeFill="accent2" w:color="auto" w:val="clear"/>
        <w:tcBorders>
          <w:bottom w:val="single" w:color="E97132" w:themeColor="accent2" w:sz="4"/>
          <w:insideH w:val="nil"/>
          <w:insideV w:val="nil"/>
          <w:left w:val="single" w:color="E97132" w:themeColor="accent2" w:sz="4"/>
          <w:right w:val="single" w:color="E97132" w:themeColor="accent2" w:sz="4"/>
          <w:top w:val="single" w:color="E97132" w:themeColor="accent2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E97132" w:themeColor="accent2" w:sz="4"/>
        </w:tcBorders>
      </w:tcPr>
    </w:tblStylePr>
  </w:style>
  <w:style w:styleId="PO68" w:type="table">
    <w:name w:val="Grid Table 4 Accent 3"/>
    <w:basedOn w:val="PO3"/>
    <w:uiPriority w:val="-1"/>
    <w:pPr>
      <w:spacing w:lineRule="auto" w:line="240" w:after="0"/>
      <w:rPr/>
    </w:pPr>
    <w:tblPr>
      <w:tblBorders>
        <w:bottom w:val="single" w:color="47D45A" w:themeColor="accent3" w:themeTint="99" w:sz="4"/>
        <w:insideH w:val="single" w:color="47D45A" w:themeColor="accent3" w:themeTint="99" w:sz="4"/>
        <w:insideV w:val="single" w:color="47D45A" w:themeColor="accent3" w:themeTint="99" w:sz="4"/>
        <w:left w:val="single" w:color="47D45A" w:themeColor="accent3" w:themeTint="99" w:sz="4"/>
        <w:right w:val="single" w:color="47D45A" w:themeColor="accent3" w:themeTint="99" w:sz="4"/>
        <w:top w:val="single" w:color="47D45A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2F1C8" w:themeFill="accent3" w:themeFillTint="33" w:color="auto" w:val="clear"/>
      </w:tcPr>
    </w:tblStylePr>
    <w:tblStylePr w:type="band1Vert">
      <w:tcPr>
        <w:shd w:fill="C2F1C8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196B24" w:themeFill="accent3" w:color="auto" w:val="clear"/>
        <w:tcBorders>
          <w:bottom w:val="single" w:color="196B24" w:themeColor="accent3" w:sz="4"/>
          <w:insideH w:val="nil"/>
          <w:insideV w:val="nil"/>
          <w:left w:val="single" w:color="196B24" w:themeColor="accent3" w:sz="4"/>
          <w:right w:val="single" w:color="196B24" w:themeColor="accent3" w:sz="4"/>
          <w:top w:val="single" w:color="196B24" w:themeColor="accent3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196B24" w:themeColor="accent3" w:sz="4"/>
        </w:tcBorders>
      </w:tcPr>
    </w:tblStylePr>
  </w:style>
  <w:style w:styleId="PO69" w:type="table">
    <w:name w:val="Grid Table 4 Accent 4"/>
    <w:basedOn w:val="PO3"/>
    <w:uiPriority w:val="-1"/>
    <w:pPr>
      <w:spacing w:lineRule="auto" w:line="240" w:after="0"/>
      <w:rPr/>
    </w:pPr>
    <w:tblPr>
      <w:tblBorders>
        <w:bottom w:val="single" w:color="61CBF4" w:themeColor="accent4" w:themeTint="99" w:sz="4"/>
        <w:insideH w:val="single" w:color="61CBF4" w:themeColor="accent4" w:themeTint="99" w:sz="4"/>
        <w:insideV w:val="single" w:color="61CBF4" w:themeColor="accent4" w:themeTint="99" w:sz="4"/>
        <w:left w:val="single" w:color="61CBF4" w:themeColor="accent4" w:themeTint="99" w:sz="4"/>
        <w:right w:val="single" w:color="61CBF4" w:themeColor="accent4" w:themeTint="99" w:sz="4"/>
        <w:top w:val="single" w:color="61CBF4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AEEFB" w:themeFill="accent4" w:themeFillTint="33" w:color="auto" w:val="clear"/>
      </w:tcPr>
    </w:tblStylePr>
    <w:tblStylePr w:type="band1Vert">
      <w:tcPr>
        <w:shd w:fill="CAEEFB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0F9ED5" w:themeFill="accent4" w:color="auto" w:val="clear"/>
        <w:tcBorders>
          <w:bottom w:val="single" w:color="0F9ED5" w:themeColor="accent4" w:sz="4"/>
          <w:insideH w:val="nil"/>
          <w:insideV w:val="nil"/>
          <w:left w:val="single" w:color="0F9ED5" w:themeColor="accent4" w:sz="4"/>
          <w:right w:val="single" w:color="0F9ED5" w:themeColor="accent4" w:sz="4"/>
          <w:top w:val="single" w:color="0F9ED5" w:themeColor="accent4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0F9ED5" w:themeColor="accent4" w:sz="4"/>
        </w:tcBorders>
      </w:tcPr>
    </w:tblStylePr>
  </w:style>
  <w:style w:styleId="PO70" w:type="table">
    <w:name w:val="Grid Table 4 Accent 5"/>
    <w:basedOn w:val="PO3"/>
    <w:uiPriority w:val="-1"/>
    <w:pPr>
      <w:spacing w:lineRule="auto" w:line="240" w:after="0"/>
      <w:rPr/>
    </w:pPr>
    <w:tblPr>
      <w:tblBorders>
        <w:bottom w:val="single" w:color="D86ECC" w:themeColor="accent5" w:themeTint="99" w:sz="4"/>
        <w:insideH w:val="single" w:color="D86ECC" w:themeColor="accent5" w:themeTint="99" w:sz="4"/>
        <w:insideV w:val="single" w:color="D86ECC" w:themeColor="accent5" w:themeTint="99" w:sz="4"/>
        <w:left w:val="single" w:color="D86ECC" w:themeColor="accent5" w:themeTint="99" w:sz="4"/>
        <w:right w:val="single" w:color="D86ECC" w:themeColor="accent5" w:themeTint="99" w:sz="4"/>
        <w:top w:val="single" w:color="D86EC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CFEE" w:themeFill="accent5" w:themeFillTint="33" w:color="auto" w:val="clear"/>
      </w:tcPr>
    </w:tblStylePr>
    <w:tblStylePr w:type="band1Vert">
      <w:tcPr>
        <w:shd w:fill="F2CFEE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A02B93" w:themeFill="accent5" w:color="auto" w:val="clear"/>
        <w:tcBorders>
          <w:bottom w:val="single" w:color="A02B93" w:themeColor="accent5" w:sz="4"/>
          <w:insideH w:val="nil"/>
          <w:insideV w:val="nil"/>
          <w:left w:val="single" w:color="A02B93" w:themeColor="accent5" w:sz="4"/>
          <w:right w:val="single" w:color="A02B93" w:themeColor="accent5" w:sz="4"/>
          <w:top w:val="single" w:color="A02B93" w:themeColor="accent5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A02B93" w:themeColor="accent5" w:sz="4"/>
        </w:tcBorders>
      </w:tcPr>
    </w:tblStylePr>
  </w:style>
  <w:style w:styleId="PO71" w:type="table">
    <w:name w:val="Grid Table 4 Accent 6"/>
    <w:basedOn w:val="PO3"/>
    <w:uiPriority w:val="-1"/>
    <w:pPr>
      <w:spacing w:lineRule="auto" w:line="240" w:after="0"/>
      <w:rPr/>
    </w:pPr>
    <w:tblPr>
      <w:tblBorders>
        <w:bottom w:val="single" w:color="8ED973" w:themeColor="accent6" w:themeTint="99" w:sz="4"/>
        <w:insideH w:val="single" w:color="8ED973" w:themeColor="accent6" w:themeTint="99" w:sz="4"/>
        <w:insideV w:val="single" w:color="8ED973" w:themeColor="accent6" w:themeTint="99" w:sz="4"/>
        <w:left w:val="single" w:color="8ED973" w:themeColor="accent6" w:themeTint="99" w:sz="4"/>
        <w:right w:val="single" w:color="8ED973" w:themeColor="accent6" w:themeTint="99" w:sz="4"/>
        <w:top w:val="single" w:color="8ED973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9F2D0" w:themeFill="accent6" w:themeFillTint="33" w:color="auto" w:val="clear"/>
      </w:tcPr>
    </w:tblStylePr>
    <w:tblStylePr w:type="band1Vert">
      <w:tcPr>
        <w:shd w:fill="D9F2D0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4EA72E" w:themeFill="accent6" w:color="auto" w:val="clear"/>
        <w:tcBorders>
          <w:bottom w:val="single" w:color="4EA72E" w:themeColor="accent6" w:sz="4"/>
          <w:insideH w:val="nil"/>
          <w:insideV w:val="nil"/>
          <w:left w:val="single" w:color="4EA72E" w:themeColor="accent6" w:sz="4"/>
          <w:right w:val="single" w:color="4EA72E" w:themeColor="accent6" w:sz="4"/>
          <w:top w:val="single" w:color="4EA72E" w:themeColor="accent6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4EA72E" w:themeColor="accent6" w:sz="4"/>
        </w:tcBorders>
      </w:tcPr>
    </w:tblStylePr>
  </w:style>
  <w:style w:styleId="PO72" w:type="table">
    <w:name w:val="Grid Table 5 Dark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1E5F5" w:themeFill="accent1" w:themeFillTint="33" w:color="auto" w:val="clear"/>
    </w:tcPr>
    <w:tblStylePr w:type="band1Horz">
      <w:tcPr>
        <w:shd w:fill="83CBEB" w:themeFill="accent1" w:themeFillTint="66" w:color="auto" w:val="clear"/>
      </w:tcPr>
    </w:tblStylePr>
    <w:tblStylePr w:type="band1Vert">
      <w:tcPr>
        <w:shd w:fill="83CBEB" w:themeFill="accent1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156082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156082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156082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156082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3D6" w:themeFill="accent2" w:themeFillTint="33" w:color="auto" w:val="clear"/>
    </w:tcPr>
    <w:tblStylePr w:type="band1Horz">
      <w:tcPr>
        <w:shd w:fill="F6C6AD" w:themeFill="accent2" w:themeFillTint="66" w:color="auto" w:val="clear"/>
      </w:tcPr>
    </w:tblStylePr>
    <w:tblStylePr w:type="band1Vert">
      <w:tcPr>
        <w:shd w:fill="F6C6AD" w:themeFill="accent2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E97132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E97132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E97132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E97132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2F1C8" w:themeFill="accent3" w:themeFillTint="33" w:color="auto" w:val="clear"/>
    </w:tcPr>
    <w:tblStylePr w:type="band1Horz">
      <w:tcPr>
        <w:shd w:fill="84E291" w:themeFill="accent3" w:themeFillTint="66" w:color="auto" w:val="clear"/>
      </w:tcPr>
    </w:tblStylePr>
    <w:tblStylePr w:type="band1Vert">
      <w:tcPr>
        <w:shd w:fill="84E291" w:themeFill="accent3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196B24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196B24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196B24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196B24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AEEFB" w:themeFill="accent4" w:themeFillTint="33" w:color="auto" w:val="clear"/>
    </w:tcPr>
    <w:tblStylePr w:type="band1Horz">
      <w:tcPr>
        <w:shd w:fill="96DCF8" w:themeFill="accent4" w:themeFillTint="66" w:color="auto" w:val="clear"/>
      </w:tcPr>
    </w:tblStylePr>
    <w:tblStylePr w:type="band1Vert">
      <w:tcPr>
        <w:shd w:fill="96DCF8" w:themeFill="accent4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0F9ED5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0F9ED5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0F9ED5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0F9ED5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2CFEE" w:themeFill="accent5" w:themeFillTint="33" w:color="auto" w:val="clear"/>
    </w:tcPr>
    <w:tblStylePr w:type="band1Horz">
      <w:tcPr>
        <w:shd w:fill="E59EDD" w:themeFill="accent5" w:themeFillTint="66" w:color="auto" w:val="clear"/>
      </w:tcPr>
    </w:tblStylePr>
    <w:tblStylePr w:type="band1Vert">
      <w:tcPr>
        <w:shd w:fill="E59EDD" w:themeFill="accent5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A02B93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A02B93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A02B93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A02B93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9F2D0" w:themeFill="accent6" w:themeFillTint="33" w:color="auto" w:val="clear"/>
    </w:tcPr>
    <w:tblStylePr w:type="band1Horz">
      <w:tcPr>
        <w:shd w:fill="B4E5A2" w:themeFill="accent6" w:themeFillTint="66" w:color="auto" w:val="clear"/>
      </w:tcPr>
    </w:tblStylePr>
    <w:tblStylePr w:type="band1Vert">
      <w:tcPr>
        <w:shd w:fill="B4E5A2" w:themeFill="accent6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4EA72E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4EA72E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4EA72E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4EA72E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-1"/>
    <w:pPr>
      <w:spacing w:lineRule="auto" w:line="240" w:after="0"/>
      <w:rPr/>
    </w:pPr>
    <w:rPr>
      <w:color w:val="0F4761" w:themeColor="accent1" w:themeShade="BE"/>
      <w:shd w:val="clear"/>
    </w:rPr>
    <w:tblPr>
      <w:tblBorders>
        <w:bottom w:val="single" w:color="46B1E1" w:themeColor="accent1" w:themeTint="99" w:sz="4"/>
        <w:insideH w:val="single" w:color="46B1E1" w:themeColor="accent1" w:themeTint="99" w:sz="4"/>
        <w:insideV w:val="single" w:color="46B1E1" w:themeColor="accent1" w:themeTint="99" w:sz="4"/>
        <w:left w:val="single" w:color="46B1E1" w:themeColor="accent1" w:themeTint="99" w:sz="4"/>
        <w:right w:val="single" w:color="46B1E1" w:themeColor="accent1" w:themeTint="99" w:sz="4"/>
        <w:top w:val="single" w:color="46B1E1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1E5F5" w:themeFill="accent1" w:themeFillTint="33" w:color="auto" w:val="clear"/>
      </w:tcPr>
    </w:tblStylePr>
    <w:tblStylePr w:type="band1Vert">
      <w:tcPr>
        <w:shd w:fill="C1E5F5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46B1E1" w:themeColor="accen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46B1E1" w:themeColor="accent1" w:themeTint="99" w:sz="4"/>
        </w:tcBorders>
      </w:tcPr>
    </w:tblStylePr>
  </w:style>
  <w:style w:styleId="PO81" w:type="table">
    <w:name w:val="Grid Table 6 Colorful Accent 2"/>
    <w:basedOn w:val="PO3"/>
    <w:uiPriority w:val="-1"/>
    <w:pPr>
      <w:spacing w:lineRule="auto" w:line="240" w:after="0"/>
      <w:rPr/>
    </w:pPr>
    <w:rPr>
      <w:color w:val="BF4F14" w:themeColor="accent2" w:themeShade="BE"/>
      <w:shd w:val="clear"/>
    </w:rPr>
    <w:tblPr>
      <w:tblBorders>
        <w:bottom w:val="single" w:color="F2AA84" w:themeColor="accent2" w:themeTint="99" w:sz="4"/>
        <w:insideH w:val="single" w:color="F2AA84" w:themeColor="accent2" w:themeTint="99" w:sz="4"/>
        <w:insideV w:val="single" w:color="F2AA84" w:themeColor="accent2" w:themeTint="99" w:sz="4"/>
        <w:left w:val="single" w:color="F2AA84" w:themeColor="accent2" w:themeTint="99" w:sz="4"/>
        <w:right w:val="single" w:color="F2AA84" w:themeColor="accent2" w:themeTint="99" w:sz="4"/>
        <w:top w:val="single" w:color="F2AA8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3D6" w:themeFill="accent2" w:themeFillTint="33" w:color="auto" w:val="clear"/>
      </w:tcPr>
    </w:tblStylePr>
    <w:tblStylePr w:type="band1Vert">
      <w:tcPr>
        <w:shd w:fill="FBE3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2AA84" w:themeColor="accent2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2AA84" w:themeColor="accent2" w:themeTint="99" w:sz="4"/>
        </w:tcBorders>
      </w:tcPr>
    </w:tblStylePr>
  </w:style>
  <w:style w:styleId="PO82" w:type="table">
    <w:name w:val="Grid Table 6 Colorful Accent 3"/>
    <w:basedOn w:val="PO3"/>
    <w:uiPriority w:val="-1"/>
    <w:pPr>
      <w:spacing w:lineRule="auto" w:line="240" w:after="0"/>
      <w:rPr/>
    </w:pPr>
    <w:rPr>
      <w:color w:val="12501A" w:themeColor="accent3" w:themeShade="BE"/>
      <w:shd w:val="clear"/>
    </w:rPr>
    <w:tblPr>
      <w:tblBorders>
        <w:bottom w:val="single" w:color="47D45A" w:themeColor="accent3" w:themeTint="99" w:sz="4"/>
        <w:insideH w:val="single" w:color="47D45A" w:themeColor="accent3" w:themeTint="99" w:sz="4"/>
        <w:insideV w:val="single" w:color="47D45A" w:themeColor="accent3" w:themeTint="99" w:sz="4"/>
        <w:left w:val="single" w:color="47D45A" w:themeColor="accent3" w:themeTint="99" w:sz="4"/>
        <w:right w:val="single" w:color="47D45A" w:themeColor="accent3" w:themeTint="99" w:sz="4"/>
        <w:top w:val="single" w:color="47D45A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2F1C8" w:themeFill="accent3" w:themeFillTint="33" w:color="auto" w:val="clear"/>
      </w:tcPr>
    </w:tblStylePr>
    <w:tblStylePr w:type="band1Vert">
      <w:tcPr>
        <w:shd w:fill="C2F1C8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47D45A" w:themeColor="accent3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47D45A" w:themeColor="accent3" w:themeTint="99" w:sz="4"/>
        </w:tcBorders>
      </w:tcPr>
    </w:tblStylePr>
  </w:style>
  <w:style w:styleId="PO83" w:type="table">
    <w:name w:val="Grid Table 6 Colorful Accent 4"/>
    <w:basedOn w:val="PO3"/>
    <w:uiPriority w:val="-1"/>
    <w:pPr>
      <w:spacing w:lineRule="auto" w:line="240" w:after="0"/>
      <w:rPr/>
    </w:pPr>
    <w:rPr>
      <w:color w:val="0B769F" w:themeColor="accent4" w:themeShade="BE"/>
      <w:shd w:val="clear"/>
    </w:rPr>
    <w:tblPr>
      <w:tblBorders>
        <w:bottom w:val="single" w:color="61CBF4" w:themeColor="accent4" w:themeTint="99" w:sz="4"/>
        <w:insideH w:val="single" w:color="61CBF4" w:themeColor="accent4" w:themeTint="99" w:sz="4"/>
        <w:insideV w:val="single" w:color="61CBF4" w:themeColor="accent4" w:themeTint="99" w:sz="4"/>
        <w:left w:val="single" w:color="61CBF4" w:themeColor="accent4" w:themeTint="99" w:sz="4"/>
        <w:right w:val="single" w:color="61CBF4" w:themeColor="accent4" w:themeTint="99" w:sz="4"/>
        <w:top w:val="single" w:color="61CBF4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AEEFB" w:themeFill="accent4" w:themeFillTint="33" w:color="auto" w:val="clear"/>
      </w:tcPr>
    </w:tblStylePr>
    <w:tblStylePr w:type="band1Vert">
      <w:tcPr>
        <w:shd w:fill="CAEEFB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1CBF4" w:themeColor="accent4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1CBF4" w:themeColor="accent4" w:themeTint="99" w:sz="4"/>
        </w:tcBorders>
      </w:tcPr>
    </w:tblStylePr>
  </w:style>
  <w:style w:styleId="PO84" w:type="table">
    <w:name w:val="Grid Table 6 Colorful Accent 5"/>
    <w:basedOn w:val="PO3"/>
    <w:uiPriority w:val="-1"/>
    <w:pPr>
      <w:spacing w:lineRule="auto" w:line="240" w:after="0"/>
      <w:rPr/>
    </w:pPr>
    <w:rPr>
      <w:color w:val="77206E" w:themeColor="accent5" w:themeShade="BE"/>
      <w:shd w:val="clear"/>
    </w:rPr>
    <w:tblPr>
      <w:tblBorders>
        <w:bottom w:val="single" w:color="D86ECC" w:themeColor="accent5" w:themeTint="99" w:sz="4"/>
        <w:insideH w:val="single" w:color="D86ECC" w:themeColor="accent5" w:themeTint="99" w:sz="4"/>
        <w:insideV w:val="single" w:color="D86ECC" w:themeColor="accent5" w:themeTint="99" w:sz="4"/>
        <w:left w:val="single" w:color="D86ECC" w:themeColor="accent5" w:themeTint="99" w:sz="4"/>
        <w:right w:val="single" w:color="D86ECC" w:themeColor="accent5" w:themeTint="99" w:sz="4"/>
        <w:top w:val="single" w:color="D86EC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CFEE" w:themeFill="accent5" w:themeFillTint="33" w:color="auto" w:val="clear"/>
      </w:tcPr>
    </w:tblStylePr>
    <w:tblStylePr w:type="band1Vert">
      <w:tcPr>
        <w:shd w:fill="F2CFEE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D86ECC" w:themeColor="accent5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D86ECC" w:themeColor="accent5" w:themeTint="99" w:sz="4"/>
        </w:tcBorders>
      </w:tcPr>
    </w:tblStylePr>
  </w:style>
  <w:style w:styleId="PO85" w:type="table">
    <w:name w:val="Grid Table 6 Colorful Accent 6"/>
    <w:basedOn w:val="PO3"/>
    <w:uiPriority w:val="-1"/>
    <w:pPr>
      <w:spacing w:lineRule="auto" w:line="240" w:after="0"/>
      <w:rPr/>
    </w:pPr>
    <w:rPr>
      <w:color w:val="3A7D22" w:themeColor="accent6" w:themeShade="BE"/>
      <w:shd w:val="clear"/>
    </w:rPr>
    <w:tblPr>
      <w:tblBorders>
        <w:bottom w:val="single" w:color="8ED973" w:themeColor="accent6" w:themeTint="99" w:sz="4"/>
        <w:insideH w:val="single" w:color="8ED973" w:themeColor="accent6" w:themeTint="99" w:sz="4"/>
        <w:insideV w:val="single" w:color="8ED973" w:themeColor="accent6" w:themeTint="99" w:sz="4"/>
        <w:left w:val="single" w:color="8ED973" w:themeColor="accent6" w:themeTint="99" w:sz="4"/>
        <w:right w:val="single" w:color="8ED973" w:themeColor="accent6" w:themeTint="99" w:sz="4"/>
        <w:top w:val="single" w:color="8ED973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9F2D0" w:themeFill="accent6" w:themeFillTint="33" w:color="auto" w:val="clear"/>
      </w:tcPr>
    </w:tblStylePr>
    <w:tblStylePr w:type="band1Vert">
      <w:tcPr>
        <w:shd w:fill="D9F2D0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8ED973" w:themeColor="accent6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8ED973" w:themeColor="accent6" w:themeTint="99" w:sz="4"/>
        </w:tcBorders>
      </w:tcPr>
    </w:tblStylePr>
  </w:style>
  <w:style w:styleId="PO86" w:type="table">
    <w:name w:val="Grid Table 7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-1"/>
    <w:pPr>
      <w:spacing w:lineRule="auto" w:line="240" w:after="0"/>
      <w:rPr/>
    </w:pPr>
    <w:rPr>
      <w:color w:val="0F4761" w:themeColor="accent1" w:themeShade="BE"/>
      <w:shd w:val="clear"/>
    </w:rPr>
    <w:tblPr>
      <w:tblBorders>
        <w:bottom w:val="single" w:color="46B1E1" w:themeColor="accent1" w:themeTint="99" w:sz="4"/>
        <w:insideH w:val="single" w:color="46B1E1" w:themeColor="accent1" w:themeTint="99" w:sz="4"/>
        <w:insideV w:val="single" w:color="46B1E1" w:themeColor="accent1" w:themeTint="99" w:sz="4"/>
        <w:left w:val="single" w:color="46B1E1" w:themeColor="accent1" w:themeTint="99" w:sz="4"/>
        <w:right w:val="single" w:color="46B1E1" w:themeColor="accent1" w:themeTint="99" w:sz="4"/>
        <w:top w:val="single" w:color="46B1E1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1E5F5" w:themeFill="accent1" w:themeFillTint="33" w:color="auto" w:val="clear"/>
      </w:tcPr>
    </w:tblStylePr>
    <w:tblStylePr w:type="band1Vert">
      <w:tcPr>
        <w:shd w:fill="C1E5F5" w:themeFill="accen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46B1E1" w:themeColor="accent1" w:themeTint="99" w:sz="4"/>
        </w:tcBorders>
      </w:tcPr>
    </w:tblStylePr>
    <w:tblStylePr w:type="nwCell">
      <w:tcPr>
        <w:tcBorders>
          <w:bottom w:val="single" w:color="46B1E1" w:themeColor="accent1" w:themeTint="99" w:sz="4"/>
        </w:tcBorders>
      </w:tcPr>
    </w:tblStylePr>
    <w:tblStylePr w:type="seCell">
      <w:tcPr>
        <w:tcBorders>
          <w:top w:val="single" w:color="46B1E1" w:themeColor="accent1" w:themeTint="99" w:sz="4"/>
        </w:tcBorders>
      </w:tcPr>
    </w:tblStylePr>
    <w:tblStylePr w:type="swCell">
      <w:tcPr>
        <w:tcBorders>
          <w:top w:val="single" w:color="46B1E1" w:themeColor="accent1" w:themeTint="99" w:sz="4"/>
        </w:tcBorders>
      </w:tcPr>
    </w:tblStylePr>
  </w:style>
  <w:style w:styleId="PO88" w:type="table">
    <w:name w:val="Grid Table 7 Colorful Accent 2"/>
    <w:basedOn w:val="PO3"/>
    <w:uiPriority w:val="-1"/>
    <w:pPr>
      <w:spacing w:lineRule="auto" w:line="240" w:after="0"/>
      <w:rPr/>
    </w:pPr>
    <w:rPr>
      <w:color w:val="BF4F14" w:themeColor="accent2" w:themeShade="BE"/>
      <w:shd w:val="clear"/>
    </w:rPr>
    <w:tblPr>
      <w:tblBorders>
        <w:bottom w:val="single" w:color="F2AA84" w:themeColor="accent2" w:themeTint="99" w:sz="4"/>
        <w:insideH w:val="single" w:color="F2AA84" w:themeColor="accent2" w:themeTint="99" w:sz="4"/>
        <w:insideV w:val="single" w:color="F2AA84" w:themeColor="accent2" w:themeTint="99" w:sz="4"/>
        <w:left w:val="single" w:color="F2AA84" w:themeColor="accent2" w:themeTint="99" w:sz="4"/>
        <w:right w:val="single" w:color="F2AA84" w:themeColor="accent2" w:themeTint="99" w:sz="4"/>
        <w:top w:val="single" w:color="F2AA8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3D6" w:themeFill="accent2" w:themeFillTint="33" w:color="auto" w:val="clear"/>
      </w:tcPr>
    </w:tblStylePr>
    <w:tblStylePr w:type="band1Vert">
      <w:tcPr>
        <w:shd w:fill="FBE3D6" w:themeFill="accent2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2AA84" w:themeColor="accent2" w:themeTint="99" w:sz="4"/>
        </w:tcBorders>
      </w:tcPr>
    </w:tblStylePr>
    <w:tblStylePr w:type="nwCell">
      <w:tcPr>
        <w:tcBorders>
          <w:bottom w:val="single" w:color="F2AA84" w:themeColor="accent2" w:themeTint="99" w:sz="4"/>
        </w:tcBorders>
      </w:tcPr>
    </w:tblStylePr>
    <w:tblStylePr w:type="seCell">
      <w:tcPr>
        <w:tcBorders>
          <w:top w:val="single" w:color="F2AA84" w:themeColor="accent2" w:themeTint="99" w:sz="4"/>
        </w:tcBorders>
      </w:tcPr>
    </w:tblStylePr>
    <w:tblStylePr w:type="swCell">
      <w:tcPr>
        <w:tcBorders>
          <w:top w:val="single" w:color="F2AA84" w:themeColor="accent2" w:themeTint="99" w:sz="4"/>
        </w:tcBorders>
      </w:tcPr>
    </w:tblStylePr>
  </w:style>
  <w:style w:styleId="PO89" w:type="table">
    <w:name w:val="Grid Table 7 Colorful Accent 3"/>
    <w:basedOn w:val="PO3"/>
    <w:uiPriority w:val="-1"/>
    <w:pPr>
      <w:spacing w:lineRule="auto" w:line="240" w:after="0"/>
      <w:rPr/>
    </w:pPr>
    <w:rPr>
      <w:color w:val="12501A" w:themeColor="accent3" w:themeShade="BE"/>
      <w:shd w:val="clear"/>
    </w:rPr>
    <w:tblPr>
      <w:tblBorders>
        <w:bottom w:val="single" w:color="47D45A" w:themeColor="accent3" w:themeTint="99" w:sz="4"/>
        <w:insideH w:val="single" w:color="47D45A" w:themeColor="accent3" w:themeTint="99" w:sz="4"/>
        <w:insideV w:val="single" w:color="47D45A" w:themeColor="accent3" w:themeTint="99" w:sz="4"/>
        <w:left w:val="single" w:color="47D45A" w:themeColor="accent3" w:themeTint="99" w:sz="4"/>
        <w:right w:val="single" w:color="47D45A" w:themeColor="accent3" w:themeTint="99" w:sz="4"/>
        <w:top w:val="single" w:color="47D45A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2F1C8" w:themeFill="accent3" w:themeFillTint="33" w:color="auto" w:val="clear"/>
      </w:tcPr>
    </w:tblStylePr>
    <w:tblStylePr w:type="band1Vert">
      <w:tcPr>
        <w:shd w:fill="C2F1C8" w:themeFill="accent3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47D45A" w:themeColor="accent3" w:themeTint="99" w:sz="4"/>
        </w:tcBorders>
      </w:tcPr>
    </w:tblStylePr>
    <w:tblStylePr w:type="nwCell">
      <w:tcPr>
        <w:tcBorders>
          <w:bottom w:val="single" w:color="47D45A" w:themeColor="accent3" w:themeTint="99" w:sz="4"/>
        </w:tcBorders>
      </w:tcPr>
    </w:tblStylePr>
    <w:tblStylePr w:type="seCell">
      <w:tcPr>
        <w:tcBorders>
          <w:top w:val="single" w:color="47D45A" w:themeColor="accent3" w:themeTint="99" w:sz="4"/>
        </w:tcBorders>
      </w:tcPr>
    </w:tblStylePr>
    <w:tblStylePr w:type="swCell">
      <w:tcPr>
        <w:tcBorders>
          <w:top w:val="single" w:color="47D45A" w:themeColor="accent3" w:themeTint="99" w:sz="4"/>
        </w:tcBorders>
      </w:tcPr>
    </w:tblStylePr>
  </w:style>
  <w:style w:styleId="PO90" w:type="table">
    <w:name w:val="Grid Table 7 Colorful Accent 4"/>
    <w:basedOn w:val="PO3"/>
    <w:uiPriority w:val="-1"/>
    <w:pPr>
      <w:spacing w:lineRule="auto" w:line="240" w:after="0"/>
      <w:rPr/>
    </w:pPr>
    <w:rPr>
      <w:color w:val="0B769F" w:themeColor="accent4" w:themeShade="BE"/>
      <w:shd w:val="clear"/>
    </w:rPr>
    <w:tblPr>
      <w:tblBorders>
        <w:bottom w:val="single" w:color="61CBF4" w:themeColor="accent4" w:themeTint="99" w:sz="4"/>
        <w:insideH w:val="single" w:color="61CBF4" w:themeColor="accent4" w:themeTint="99" w:sz="4"/>
        <w:insideV w:val="single" w:color="61CBF4" w:themeColor="accent4" w:themeTint="99" w:sz="4"/>
        <w:left w:val="single" w:color="61CBF4" w:themeColor="accent4" w:themeTint="99" w:sz="4"/>
        <w:right w:val="single" w:color="61CBF4" w:themeColor="accent4" w:themeTint="99" w:sz="4"/>
        <w:top w:val="single" w:color="61CBF4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AEEFB" w:themeFill="accent4" w:themeFillTint="33" w:color="auto" w:val="clear"/>
      </w:tcPr>
    </w:tblStylePr>
    <w:tblStylePr w:type="band1Vert">
      <w:tcPr>
        <w:shd w:fill="CAEEFB" w:themeFill="accent4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1CBF4" w:themeColor="accent4" w:themeTint="99" w:sz="4"/>
        </w:tcBorders>
      </w:tcPr>
    </w:tblStylePr>
    <w:tblStylePr w:type="nwCell">
      <w:tcPr>
        <w:tcBorders>
          <w:bottom w:val="single" w:color="61CBF4" w:themeColor="accent4" w:themeTint="99" w:sz="4"/>
        </w:tcBorders>
      </w:tcPr>
    </w:tblStylePr>
    <w:tblStylePr w:type="seCell">
      <w:tcPr>
        <w:tcBorders>
          <w:top w:val="single" w:color="61CBF4" w:themeColor="accent4" w:themeTint="99" w:sz="4"/>
        </w:tcBorders>
      </w:tcPr>
    </w:tblStylePr>
    <w:tblStylePr w:type="swCell">
      <w:tcPr>
        <w:tcBorders>
          <w:top w:val="single" w:color="61CBF4" w:themeColor="accent4" w:themeTint="99" w:sz="4"/>
        </w:tcBorders>
      </w:tcPr>
    </w:tblStylePr>
  </w:style>
  <w:style w:styleId="PO91" w:type="table">
    <w:name w:val="Grid Table 7 Colorful Accent 5"/>
    <w:basedOn w:val="PO3"/>
    <w:uiPriority w:val="-1"/>
    <w:pPr>
      <w:spacing w:lineRule="auto" w:line="240" w:after="0"/>
      <w:rPr/>
    </w:pPr>
    <w:rPr>
      <w:color w:val="77206E" w:themeColor="accent5" w:themeShade="BE"/>
      <w:shd w:val="clear"/>
    </w:rPr>
    <w:tblPr>
      <w:tblBorders>
        <w:bottom w:val="single" w:color="D86ECC" w:themeColor="accent5" w:themeTint="99" w:sz="4"/>
        <w:insideH w:val="single" w:color="D86ECC" w:themeColor="accent5" w:themeTint="99" w:sz="4"/>
        <w:insideV w:val="single" w:color="D86ECC" w:themeColor="accent5" w:themeTint="99" w:sz="4"/>
        <w:left w:val="single" w:color="D86ECC" w:themeColor="accent5" w:themeTint="99" w:sz="4"/>
        <w:right w:val="single" w:color="D86ECC" w:themeColor="accent5" w:themeTint="99" w:sz="4"/>
        <w:top w:val="single" w:color="D86EC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CFEE" w:themeFill="accent5" w:themeFillTint="33" w:color="auto" w:val="clear"/>
      </w:tcPr>
    </w:tblStylePr>
    <w:tblStylePr w:type="band1Vert">
      <w:tcPr>
        <w:shd w:fill="F2CFEE" w:themeFill="accent5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86ECC" w:themeColor="accent5" w:themeTint="99" w:sz="4"/>
        </w:tcBorders>
      </w:tcPr>
    </w:tblStylePr>
    <w:tblStylePr w:type="nwCell">
      <w:tcPr>
        <w:tcBorders>
          <w:bottom w:val="single" w:color="D86ECC" w:themeColor="accent5" w:themeTint="99" w:sz="4"/>
        </w:tcBorders>
      </w:tcPr>
    </w:tblStylePr>
    <w:tblStylePr w:type="seCell">
      <w:tcPr>
        <w:tcBorders>
          <w:top w:val="single" w:color="D86ECC" w:themeColor="accent5" w:themeTint="99" w:sz="4"/>
        </w:tcBorders>
      </w:tcPr>
    </w:tblStylePr>
    <w:tblStylePr w:type="swCell">
      <w:tcPr>
        <w:tcBorders>
          <w:top w:val="single" w:color="D86ECC" w:themeColor="accent5" w:themeTint="99" w:sz="4"/>
        </w:tcBorders>
      </w:tcPr>
    </w:tblStylePr>
  </w:style>
  <w:style w:styleId="PO92" w:type="table">
    <w:name w:val="Grid Table 7 Colorful Accent 6"/>
    <w:basedOn w:val="PO3"/>
    <w:uiPriority w:val="-1"/>
    <w:pPr>
      <w:spacing w:lineRule="auto" w:line="240" w:after="0"/>
      <w:rPr/>
    </w:pPr>
    <w:rPr>
      <w:color w:val="3A7D22" w:themeColor="accent6" w:themeShade="BE"/>
      <w:shd w:val="clear"/>
    </w:rPr>
    <w:tblPr>
      <w:tblBorders>
        <w:bottom w:val="single" w:color="8ED973" w:themeColor="accent6" w:themeTint="99" w:sz="4"/>
        <w:insideH w:val="single" w:color="8ED973" w:themeColor="accent6" w:themeTint="99" w:sz="4"/>
        <w:insideV w:val="single" w:color="8ED973" w:themeColor="accent6" w:themeTint="99" w:sz="4"/>
        <w:left w:val="single" w:color="8ED973" w:themeColor="accent6" w:themeTint="99" w:sz="4"/>
        <w:right w:val="single" w:color="8ED973" w:themeColor="accent6" w:themeTint="99" w:sz="4"/>
        <w:top w:val="single" w:color="8ED973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9F2D0" w:themeFill="accent6" w:themeFillTint="33" w:color="auto" w:val="clear"/>
      </w:tcPr>
    </w:tblStylePr>
    <w:tblStylePr w:type="band1Vert">
      <w:tcPr>
        <w:shd w:fill="D9F2D0" w:themeFill="accent6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ED973" w:themeColor="accent6" w:themeTint="99" w:sz="4"/>
        </w:tcBorders>
      </w:tcPr>
    </w:tblStylePr>
    <w:tblStylePr w:type="nwCell">
      <w:tcPr>
        <w:tcBorders>
          <w:bottom w:val="single" w:color="8ED973" w:themeColor="accent6" w:themeTint="99" w:sz="4"/>
        </w:tcBorders>
      </w:tcPr>
    </w:tblStylePr>
    <w:tblStylePr w:type="seCell">
      <w:tcPr>
        <w:tcBorders>
          <w:top w:val="single" w:color="8ED973" w:themeColor="accent6" w:themeTint="99" w:sz="4"/>
        </w:tcBorders>
      </w:tcPr>
    </w:tblStylePr>
    <w:tblStylePr w:type="swCell">
      <w:tcPr>
        <w:tcBorders>
          <w:top w:val="single" w:color="8ED973" w:themeColor="accent6" w:themeTint="99" w:sz="4"/>
        </w:tcBorders>
      </w:tcPr>
    </w:tblStylePr>
  </w:style>
  <w:style w:styleId="PO93" w:type="table">
    <w:name w:val="List Table 1 Light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1E5F5" w:themeFill="accent1" w:themeFillTint="33" w:color="auto" w:val="clear"/>
      </w:tcPr>
    </w:tblStylePr>
    <w:tblStylePr w:type="band1Vert">
      <w:tcPr>
        <w:shd w:fill="C1E5F5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46B1E1" w:themeColor="accent1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46B1E1" w:themeColor="accent1" w:themeTint="99" w:sz="4"/>
        </w:tcBorders>
      </w:tcPr>
    </w:tblStylePr>
  </w:style>
  <w:style w:styleId="PO95" w:type="table">
    <w:name w:val="List Table 1 Light Accent 2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3D6" w:themeFill="accent2" w:themeFillTint="33" w:color="auto" w:val="clear"/>
      </w:tcPr>
    </w:tblStylePr>
    <w:tblStylePr w:type="band1Vert">
      <w:tcPr>
        <w:shd w:fill="FBE3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2AA84" w:themeColor="accent2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F2AA84" w:themeColor="accent2" w:themeTint="99" w:sz="4"/>
        </w:tcBorders>
      </w:tcPr>
    </w:tblStylePr>
  </w:style>
  <w:style w:styleId="PO96" w:type="table">
    <w:name w:val="List Table 1 Light Accent 3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2F1C8" w:themeFill="accent3" w:themeFillTint="33" w:color="auto" w:val="clear"/>
      </w:tcPr>
    </w:tblStylePr>
    <w:tblStylePr w:type="band1Vert">
      <w:tcPr>
        <w:shd w:fill="C2F1C8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47D45A" w:themeColor="accent3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47D45A" w:themeColor="accent3" w:themeTint="99" w:sz="4"/>
        </w:tcBorders>
      </w:tcPr>
    </w:tblStylePr>
  </w:style>
  <w:style w:styleId="PO97" w:type="table">
    <w:name w:val="List Table 1 Light Accent 4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AEEFB" w:themeFill="accent4" w:themeFillTint="33" w:color="auto" w:val="clear"/>
      </w:tcPr>
    </w:tblStylePr>
    <w:tblStylePr w:type="band1Vert">
      <w:tcPr>
        <w:shd w:fill="CAEEFB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1CBF4" w:themeColor="accent4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61CBF4" w:themeColor="accent4" w:themeTint="99" w:sz="4"/>
        </w:tcBorders>
      </w:tcPr>
    </w:tblStylePr>
  </w:style>
  <w:style w:styleId="PO98" w:type="table">
    <w:name w:val="List Table 1 Light Accent 5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CFEE" w:themeFill="accent5" w:themeFillTint="33" w:color="auto" w:val="clear"/>
      </w:tcPr>
    </w:tblStylePr>
    <w:tblStylePr w:type="band1Vert">
      <w:tcPr>
        <w:shd w:fill="F2CFEE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D86ECC" w:themeColor="accent5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D86ECC" w:themeColor="accent5" w:themeTint="99" w:sz="4"/>
        </w:tcBorders>
      </w:tcPr>
    </w:tblStylePr>
  </w:style>
  <w:style w:styleId="PO99" w:type="table">
    <w:name w:val="List Table 1 Light Accent 6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9F2D0" w:themeFill="accent6" w:themeFillTint="33" w:color="auto" w:val="clear"/>
      </w:tcPr>
    </w:tblStylePr>
    <w:tblStylePr w:type="band1Vert">
      <w:tcPr>
        <w:shd w:fill="D9F2D0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8ED973" w:themeColor="accent6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8ED973" w:themeColor="accent6" w:themeTint="99" w:sz="4"/>
        </w:tcBorders>
      </w:tcPr>
    </w:tblStylePr>
  </w:style>
  <w:style w:styleId="PO100" w:type="table">
    <w:name w:val="List Table 2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1" w:type="table">
    <w:name w:val="List Table 2 Accent 1"/>
    <w:basedOn w:val="PO3"/>
    <w:uiPriority w:val="-1"/>
    <w:pPr>
      <w:spacing w:lineRule="auto" w:line="240" w:after="0"/>
      <w:rPr/>
    </w:pPr>
    <w:tblPr>
      <w:tblBorders>
        <w:bottom w:val="single" w:color="46B1E1" w:themeColor="accent1" w:themeTint="99" w:sz="4"/>
        <w:insideH w:val="single" w:color="46B1E1" w:themeColor="accent1" w:themeTint="99" w:sz="4"/>
        <w:top w:val="single" w:color="46B1E1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1E5F5" w:themeFill="accent1" w:themeFillTint="33" w:color="auto" w:val="clear"/>
      </w:tcPr>
    </w:tblStylePr>
    <w:tblStylePr w:type="band1Vert">
      <w:tcPr>
        <w:shd w:fill="C1E5F5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2" w:type="table">
    <w:name w:val="List Table 2 Accent 2"/>
    <w:basedOn w:val="PO3"/>
    <w:uiPriority w:val="-1"/>
    <w:pPr>
      <w:spacing w:lineRule="auto" w:line="240" w:after="0"/>
      <w:rPr/>
    </w:pPr>
    <w:tblPr>
      <w:tblBorders>
        <w:bottom w:val="single" w:color="F2AA84" w:themeColor="accent2" w:themeTint="99" w:sz="4"/>
        <w:insideH w:val="single" w:color="F2AA84" w:themeColor="accent2" w:themeTint="99" w:sz="4"/>
        <w:top w:val="single" w:color="F2AA8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3D6" w:themeFill="accent2" w:themeFillTint="33" w:color="auto" w:val="clear"/>
      </w:tcPr>
    </w:tblStylePr>
    <w:tblStylePr w:type="band1Vert">
      <w:tcPr>
        <w:shd w:fill="FBE3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3" w:type="table">
    <w:name w:val="List Table 2 Accent 3"/>
    <w:basedOn w:val="PO3"/>
    <w:uiPriority w:val="-1"/>
    <w:pPr>
      <w:spacing w:lineRule="auto" w:line="240" w:after="0"/>
      <w:rPr/>
    </w:pPr>
    <w:tblPr>
      <w:tblBorders>
        <w:bottom w:val="single" w:color="47D45A" w:themeColor="accent3" w:themeTint="99" w:sz="4"/>
        <w:insideH w:val="single" w:color="47D45A" w:themeColor="accent3" w:themeTint="99" w:sz="4"/>
        <w:top w:val="single" w:color="47D45A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2F1C8" w:themeFill="accent3" w:themeFillTint="33" w:color="auto" w:val="clear"/>
      </w:tcPr>
    </w:tblStylePr>
    <w:tblStylePr w:type="band1Vert">
      <w:tcPr>
        <w:shd w:fill="C2F1C8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4" w:type="table">
    <w:name w:val="List Table 2 Accent 4"/>
    <w:basedOn w:val="PO3"/>
    <w:uiPriority w:val="-1"/>
    <w:pPr>
      <w:spacing w:lineRule="auto" w:line="240" w:after="0"/>
      <w:rPr/>
    </w:pPr>
    <w:tblPr>
      <w:tblBorders>
        <w:bottom w:val="single" w:color="61CBF4" w:themeColor="accent4" w:themeTint="99" w:sz="4"/>
        <w:insideH w:val="single" w:color="61CBF4" w:themeColor="accent4" w:themeTint="99" w:sz="4"/>
        <w:top w:val="single" w:color="61CBF4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AEEFB" w:themeFill="accent4" w:themeFillTint="33" w:color="auto" w:val="clear"/>
      </w:tcPr>
    </w:tblStylePr>
    <w:tblStylePr w:type="band1Vert">
      <w:tcPr>
        <w:shd w:fill="CAEEFB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5" w:type="table">
    <w:name w:val="List Table 2 Accent 5"/>
    <w:basedOn w:val="PO3"/>
    <w:uiPriority w:val="-1"/>
    <w:pPr>
      <w:spacing w:lineRule="auto" w:line="240" w:after="0"/>
      <w:rPr/>
    </w:pPr>
    <w:tblPr>
      <w:tblBorders>
        <w:bottom w:val="single" w:color="D86ECC" w:themeColor="accent5" w:themeTint="99" w:sz="4"/>
        <w:insideH w:val="single" w:color="D86ECC" w:themeColor="accent5" w:themeTint="99" w:sz="4"/>
        <w:top w:val="single" w:color="D86EC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CFEE" w:themeFill="accent5" w:themeFillTint="33" w:color="auto" w:val="clear"/>
      </w:tcPr>
    </w:tblStylePr>
    <w:tblStylePr w:type="band1Vert">
      <w:tcPr>
        <w:shd w:fill="F2CFEE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6" w:type="table">
    <w:name w:val="List Table 2 Accent 6"/>
    <w:basedOn w:val="PO3"/>
    <w:uiPriority w:val="-1"/>
    <w:pPr>
      <w:spacing w:lineRule="auto" w:line="240" w:after="0"/>
      <w:rPr/>
    </w:pPr>
    <w:tblPr>
      <w:tblBorders>
        <w:bottom w:val="single" w:color="8ED973" w:themeColor="accent6" w:themeTint="99" w:sz="4"/>
        <w:insideH w:val="single" w:color="8ED973" w:themeColor="accent6" w:themeTint="99" w:sz="4"/>
        <w:top w:val="single" w:color="8ED973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9F2D0" w:themeFill="accent6" w:themeFillTint="33" w:color="auto" w:val="clear"/>
      </w:tcPr>
    </w:tblStylePr>
    <w:tblStylePr w:type="band1Vert">
      <w:tcPr>
        <w:shd w:fill="D9F2D0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7" w:type="table">
    <w:name w:val="List Table 3"/>
    <w:basedOn w:val="PO3"/>
    <w:uiPriority w:val="-1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-1"/>
    <w:pPr>
      <w:spacing w:lineRule="auto" w:line="240" w:after="0"/>
      <w:rPr/>
    </w:pPr>
    <w:tblPr>
      <w:tblBorders>
        <w:bottom w:val="single" w:color="156082" w:themeColor="accent1" w:sz="4"/>
        <w:left w:val="single" w:color="156082" w:themeColor="accent1" w:sz="4"/>
        <w:right w:val="single" w:color="156082" w:themeColor="accent1" w:sz="4"/>
        <w:top w:val="single" w:color="156082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156082" w:themeColor="accent1" w:sz="4"/>
          <w:insideH w:val="nil"/>
          <w:top w:val="single" w:color="156082" w:themeColor="accent1" w:sz="4"/>
        </w:tcBorders>
      </w:tcPr>
    </w:tblStylePr>
    <w:tblStylePr w:type="band1Vert">
      <w:tcPr>
        <w:tcBorders>
          <w:left w:val="single" w:color="156082" w:themeColor="accent1" w:sz="4"/>
          <w:right w:val="single" w:color="156082" w:themeColor="accent1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156082" w:themeFill="accent1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156082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156082" w:themeColor="accent1" w:sz="4"/>
        </w:tcBorders>
      </w:tcPr>
    </w:tblStylePr>
    <w:tblStylePr w:type="swCell">
      <w:tcPr>
        <w:tcBorders>
          <w:right w:val="nil"/>
          <w:top w:val="double" w:color="156082" w:themeColor="accent1" w:sz="4"/>
        </w:tcBorders>
      </w:tcPr>
    </w:tblStylePr>
  </w:style>
  <w:style w:styleId="PO109" w:type="table">
    <w:name w:val="List Table 3 Accent 2"/>
    <w:basedOn w:val="PO3"/>
    <w:uiPriority w:val="-1"/>
    <w:pPr>
      <w:spacing w:lineRule="auto" w:line="240" w:after="0"/>
      <w:rPr/>
    </w:pPr>
    <w:tblPr>
      <w:tblBorders>
        <w:bottom w:val="single" w:color="E97132" w:themeColor="accent2" w:sz="4"/>
        <w:left w:val="single" w:color="E97132" w:themeColor="accent2" w:sz="4"/>
        <w:right w:val="single" w:color="E97132" w:themeColor="accent2" w:sz="4"/>
        <w:top w:val="single" w:color="E97132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97132" w:themeColor="accent2" w:sz="4"/>
          <w:insideH w:val="nil"/>
          <w:top w:val="single" w:color="E97132" w:themeColor="accent2" w:sz="4"/>
        </w:tcBorders>
      </w:tcPr>
    </w:tblStylePr>
    <w:tblStylePr w:type="band1Vert">
      <w:tcPr>
        <w:tcBorders>
          <w:left w:val="single" w:color="E97132" w:themeColor="accent2" w:sz="4"/>
          <w:right w:val="single" w:color="E97132" w:themeColor="accent2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E97132" w:themeFill="accent2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E97132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97132" w:themeColor="accent2" w:sz="4"/>
        </w:tcBorders>
      </w:tcPr>
    </w:tblStylePr>
    <w:tblStylePr w:type="swCell">
      <w:tcPr>
        <w:tcBorders>
          <w:right w:val="nil"/>
          <w:top w:val="double" w:color="E97132" w:themeColor="accent2" w:sz="4"/>
        </w:tcBorders>
      </w:tcPr>
    </w:tblStylePr>
  </w:style>
  <w:style w:styleId="PO110" w:type="table">
    <w:name w:val="List Table 3 Accent 3"/>
    <w:basedOn w:val="PO3"/>
    <w:uiPriority w:val="-1"/>
    <w:pPr>
      <w:spacing w:lineRule="auto" w:line="240" w:after="0"/>
      <w:rPr/>
    </w:pPr>
    <w:tblPr>
      <w:tblBorders>
        <w:bottom w:val="single" w:color="196B24" w:themeColor="accent3" w:sz="4"/>
        <w:left w:val="single" w:color="196B24" w:themeColor="accent3" w:sz="4"/>
        <w:right w:val="single" w:color="196B24" w:themeColor="accent3" w:sz="4"/>
        <w:top w:val="single" w:color="196B24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196B24" w:themeColor="accent3" w:sz="4"/>
          <w:insideH w:val="nil"/>
          <w:top w:val="single" w:color="196B24" w:themeColor="accent3" w:sz="4"/>
        </w:tcBorders>
      </w:tcPr>
    </w:tblStylePr>
    <w:tblStylePr w:type="band1Vert">
      <w:tcPr>
        <w:tcBorders>
          <w:left w:val="single" w:color="196B24" w:themeColor="accent3" w:sz="4"/>
          <w:right w:val="single" w:color="196B24" w:themeColor="accent3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196B24" w:themeFill="accent3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196B24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196B24" w:themeColor="accent3" w:sz="4"/>
        </w:tcBorders>
      </w:tcPr>
    </w:tblStylePr>
    <w:tblStylePr w:type="swCell">
      <w:tcPr>
        <w:tcBorders>
          <w:right w:val="nil"/>
          <w:top w:val="double" w:color="196B24" w:themeColor="accent3" w:sz="4"/>
        </w:tcBorders>
      </w:tcPr>
    </w:tblStylePr>
  </w:style>
  <w:style w:styleId="PO111" w:type="table">
    <w:name w:val="List Table 3 Accent 4"/>
    <w:basedOn w:val="PO3"/>
    <w:uiPriority w:val="-1"/>
    <w:pPr>
      <w:spacing w:lineRule="auto" w:line="240" w:after="0"/>
      <w:rPr/>
    </w:pPr>
    <w:tblPr>
      <w:tblBorders>
        <w:bottom w:val="single" w:color="0F9ED5" w:themeColor="accent4" w:sz="4"/>
        <w:left w:val="single" w:color="0F9ED5" w:themeColor="accent4" w:sz="4"/>
        <w:right w:val="single" w:color="0F9ED5" w:themeColor="accent4" w:sz="4"/>
        <w:top w:val="single" w:color="0F9ED5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F9ED5" w:themeColor="accent4" w:sz="4"/>
          <w:insideH w:val="nil"/>
          <w:top w:val="single" w:color="0F9ED5" w:themeColor="accent4" w:sz="4"/>
        </w:tcBorders>
      </w:tcPr>
    </w:tblStylePr>
    <w:tblStylePr w:type="band1Vert">
      <w:tcPr>
        <w:tcBorders>
          <w:left w:val="single" w:color="0F9ED5" w:themeColor="accent4" w:sz="4"/>
          <w:right w:val="single" w:color="0F9ED5" w:themeColor="accent4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0F9ED5" w:themeFill="accent4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0F9ED5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F9ED5" w:themeColor="accent4" w:sz="4"/>
        </w:tcBorders>
      </w:tcPr>
    </w:tblStylePr>
    <w:tblStylePr w:type="swCell">
      <w:tcPr>
        <w:tcBorders>
          <w:right w:val="nil"/>
          <w:top w:val="double" w:color="0F9ED5" w:themeColor="accent4" w:sz="4"/>
        </w:tcBorders>
      </w:tcPr>
    </w:tblStylePr>
  </w:style>
  <w:style w:styleId="PO112" w:type="table">
    <w:name w:val="List Table 3 Accent 5"/>
    <w:basedOn w:val="PO3"/>
    <w:uiPriority w:val="-1"/>
    <w:pPr>
      <w:spacing w:lineRule="auto" w:line="240" w:after="0"/>
      <w:rPr/>
    </w:pPr>
    <w:tblPr>
      <w:tblBorders>
        <w:bottom w:val="single" w:color="A02B93" w:themeColor="accent5" w:sz="4"/>
        <w:left w:val="single" w:color="A02B93" w:themeColor="accent5" w:sz="4"/>
        <w:right w:val="single" w:color="A02B93" w:themeColor="accent5" w:sz="4"/>
        <w:top w:val="single" w:color="A02B93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02B93" w:themeColor="accent5" w:sz="4"/>
          <w:insideH w:val="nil"/>
          <w:top w:val="single" w:color="A02B93" w:themeColor="accent5" w:sz="4"/>
        </w:tcBorders>
      </w:tcPr>
    </w:tblStylePr>
    <w:tblStylePr w:type="band1Vert">
      <w:tcPr>
        <w:tcBorders>
          <w:left w:val="single" w:color="A02B93" w:themeColor="accent5" w:sz="4"/>
          <w:right w:val="single" w:color="A02B93" w:themeColor="accent5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A02B93" w:themeFill="accent5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A02B93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02B93" w:themeColor="accent5" w:sz="4"/>
        </w:tcBorders>
      </w:tcPr>
    </w:tblStylePr>
    <w:tblStylePr w:type="swCell">
      <w:tcPr>
        <w:tcBorders>
          <w:right w:val="nil"/>
          <w:top w:val="double" w:color="A02B93" w:themeColor="accent5" w:sz="4"/>
        </w:tcBorders>
      </w:tcPr>
    </w:tblStylePr>
  </w:style>
  <w:style w:styleId="PO113" w:type="table">
    <w:name w:val="List Table 3 Accent 6"/>
    <w:basedOn w:val="PO3"/>
    <w:uiPriority w:val="-1"/>
    <w:pPr>
      <w:spacing w:lineRule="auto" w:line="240" w:after="0"/>
      <w:rPr/>
    </w:pPr>
    <w:tblPr>
      <w:tblBorders>
        <w:bottom w:val="single" w:color="4EA72E" w:themeColor="accent6" w:sz="4"/>
        <w:left w:val="single" w:color="4EA72E" w:themeColor="accent6" w:sz="4"/>
        <w:right w:val="single" w:color="4EA72E" w:themeColor="accent6" w:sz="4"/>
        <w:top w:val="single" w:color="4EA72E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EA72E" w:themeColor="accent6" w:sz="4"/>
          <w:insideH w:val="nil"/>
          <w:top w:val="single" w:color="4EA72E" w:themeColor="accent6" w:sz="4"/>
        </w:tcBorders>
      </w:tcPr>
    </w:tblStylePr>
    <w:tblStylePr w:type="band1Vert">
      <w:tcPr>
        <w:tcBorders>
          <w:left w:val="single" w:color="4EA72E" w:themeColor="accent6" w:sz="4"/>
          <w:right w:val="single" w:color="4EA72E" w:themeColor="accent6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4EA72E" w:themeFill="accent6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4EA72E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EA72E" w:themeColor="accent6" w:sz="4"/>
        </w:tcBorders>
      </w:tcPr>
    </w:tblStylePr>
    <w:tblStylePr w:type="swCell">
      <w:tcPr>
        <w:tcBorders>
          <w:right w:val="nil"/>
          <w:top w:val="double" w:color="4EA72E" w:themeColor="accent6" w:sz="4"/>
        </w:tcBorders>
      </w:tcPr>
    </w:tblStylePr>
  </w:style>
  <w:style w:styleId="PO114" w:type="table">
    <w:name w:val="List Table 4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-1"/>
    <w:pPr>
      <w:spacing w:lineRule="auto" w:line="240" w:after="0"/>
      <w:rPr/>
    </w:pPr>
    <w:tblPr>
      <w:tblBorders>
        <w:bottom w:val="single" w:color="46B1E1" w:themeColor="accent1" w:themeTint="99" w:sz="4"/>
        <w:insideH w:val="single" w:color="46B1E1" w:themeColor="accent1" w:themeTint="99" w:sz="4"/>
        <w:left w:val="single" w:color="46B1E1" w:themeColor="accent1" w:themeTint="99" w:sz="4"/>
        <w:right w:val="single" w:color="46B1E1" w:themeColor="accent1" w:themeTint="99" w:sz="4"/>
        <w:top w:val="single" w:color="46B1E1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1E5F5" w:themeFill="accent1" w:themeFillTint="33" w:color="auto" w:val="clear"/>
      </w:tcPr>
    </w:tblStylePr>
    <w:tblStylePr w:type="band1Vert">
      <w:tcPr>
        <w:shd w:fill="C1E5F5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156082" w:themeFill="accent1" w:color="auto" w:val="clear"/>
        <w:tcBorders>
          <w:bottom w:val="single" w:color="156082" w:themeColor="accent1" w:sz="4"/>
          <w:insideH w:val="nil"/>
          <w:left w:val="single" w:color="156082" w:themeColor="accent1" w:sz="4"/>
          <w:right w:val="single" w:color="156082" w:themeColor="accent1" w:sz="4"/>
          <w:top w:val="single" w:color="156082" w:themeColor="accen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46B1E1" w:themeColor="accent1" w:themeTint="99" w:sz="4"/>
        </w:tcBorders>
      </w:tcPr>
    </w:tblStylePr>
  </w:style>
  <w:style w:styleId="PO116" w:type="table">
    <w:name w:val="List Table 4 Accent 2"/>
    <w:basedOn w:val="PO3"/>
    <w:uiPriority w:val="-1"/>
    <w:pPr>
      <w:spacing w:lineRule="auto" w:line="240" w:after="0"/>
      <w:rPr/>
    </w:pPr>
    <w:tblPr>
      <w:tblBorders>
        <w:bottom w:val="single" w:color="F2AA84" w:themeColor="accent2" w:themeTint="99" w:sz="4"/>
        <w:insideH w:val="single" w:color="F2AA84" w:themeColor="accent2" w:themeTint="99" w:sz="4"/>
        <w:left w:val="single" w:color="F2AA84" w:themeColor="accent2" w:themeTint="99" w:sz="4"/>
        <w:right w:val="single" w:color="F2AA84" w:themeColor="accent2" w:themeTint="99" w:sz="4"/>
        <w:top w:val="single" w:color="F2AA8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3D6" w:themeFill="accent2" w:themeFillTint="33" w:color="auto" w:val="clear"/>
      </w:tcPr>
    </w:tblStylePr>
    <w:tblStylePr w:type="band1Vert">
      <w:tcPr>
        <w:shd w:fill="FBE3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E97132" w:themeFill="accent2" w:color="auto" w:val="clear"/>
        <w:tcBorders>
          <w:bottom w:val="single" w:color="E97132" w:themeColor="accent2" w:sz="4"/>
          <w:insideH w:val="nil"/>
          <w:left w:val="single" w:color="E97132" w:themeColor="accent2" w:sz="4"/>
          <w:right w:val="single" w:color="E97132" w:themeColor="accent2" w:sz="4"/>
          <w:top w:val="single" w:color="E97132" w:themeColor="accent2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2AA84" w:themeColor="accent2" w:themeTint="99" w:sz="4"/>
        </w:tcBorders>
      </w:tcPr>
    </w:tblStylePr>
  </w:style>
  <w:style w:styleId="PO117" w:type="table">
    <w:name w:val="List Table 4 Accent 3"/>
    <w:basedOn w:val="PO3"/>
    <w:uiPriority w:val="-1"/>
    <w:pPr>
      <w:spacing w:lineRule="auto" w:line="240" w:after="0"/>
      <w:rPr/>
    </w:pPr>
    <w:tblPr>
      <w:tblBorders>
        <w:bottom w:val="single" w:color="47D45A" w:themeColor="accent3" w:themeTint="99" w:sz="4"/>
        <w:insideH w:val="single" w:color="47D45A" w:themeColor="accent3" w:themeTint="99" w:sz="4"/>
        <w:left w:val="single" w:color="47D45A" w:themeColor="accent3" w:themeTint="99" w:sz="4"/>
        <w:right w:val="single" w:color="47D45A" w:themeColor="accent3" w:themeTint="99" w:sz="4"/>
        <w:top w:val="single" w:color="47D45A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2F1C8" w:themeFill="accent3" w:themeFillTint="33" w:color="auto" w:val="clear"/>
      </w:tcPr>
    </w:tblStylePr>
    <w:tblStylePr w:type="band1Vert">
      <w:tcPr>
        <w:shd w:fill="C2F1C8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196B24" w:themeFill="accent3" w:color="auto" w:val="clear"/>
        <w:tcBorders>
          <w:bottom w:val="single" w:color="196B24" w:themeColor="accent3" w:sz="4"/>
          <w:insideH w:val="nil"/>
          <w:left w:val="single" w:color="196B24" w:themeColor="accent3" w:sz="4"/>
          <w:right w:val="single" w:color="196B24" w:themeColor="accent3" w:sz="4"/>
          <w:top w:val="single" w:color="196B24" w:themeColor="accent3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47D45A" w:themeColor="accent3" w:themeTint="99" w:sz="4"/>
        </w:tcBorders>
      </w:tcPr>
    </w:tblStylePr>
  </w:style>
  <w:style w:styleId="PO118" w:type="table">
    <w:name w:val="List Table 4 Accent 4"/>
    <w:basedOn w:val="PO3"/>
    <w:uiPriority w:val="-1"/>
    <w:pPr>
      <w:spacing w:lineRule="auto" w:line="240" w:after="0"/>
      <w:rPr/>
    </w:pPr>
    <w:tblPr>
      <w:tblBorders>
        <w:bottom w:val="single" w:color="61CBF4" w:themeColor="accent4" w:themeTint="99" w:sz="4"/>
        <w:insideH w:val="single" w:color="61CBF4" w:themeColor="accent4" w:themeTint="99" w:sz="4"/>
        <w:left w:val="single" w:color="61CBF4" w:themeColor="accent4" w:themeTint="99" w:sz="4"/>
        <w:right w:val="single" w:color="61CBF4" w:themeColor="accent4" w:themeTint="99" w:sz="4"/>
        <w:top w:val="single" w:color="61CBF4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AEEFB" w:themeFill="accent4" w:themeFillTint="33" w:color="auto" w:val="clear"/>
      </w:tcPr>
    </w:tblStylePr>
    <w:tblStylePr w:type="band1Vert">
      <w:tcPr>
        <w:shd w:fill="CAEEFB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0F9ED5" w:themeFill="accent4" w:color="auto" w:val="clear"/>
        <w:tcBorders>
          <w:bottom w:val="single" w:color="0F9ED5" w:themeColor="accent4" w:sz="4"/>
          <w:insideH w:val="nil"/>
          <w:left w:val="single" w:color="0F9ED5" w:themeColor="accent4" w:sz="4"/>
          <w:right w:val="single" w:color="0F9ED5" w:themeColor="accent4" w:sz="4"/>
          <w:top w:val="single" w:color="0F9ED5" w:themeColor="accent4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1CBF4" w:themeColor="accent4" w:themeTint="99" w:sz="4"/>
        </w:tcBorders>
      </w:tcPr>
    </w:tblStylePr>
  </w:style>
  <w:style w:styleId="PO119" w:type="table">
    <w:name w:val="List Table 4 Accent 5"/>
    <w:basedOn w:val="PO3"/>
    <w:uiPriority w:val="-1"/>
    <w:pPr>
      <w:spacing w:lineRule="auto" w:line="240" w:after="0"/>
      <w:rPr/>
    </w:pPr>
    <w:tblPr>
      <w:tblBorders>
        <w:bottom w:val="single" w:color="D86ECC" w:themeColor="accent5" w:themeTint="99" w:sz="4"/>
        <w:insideH w:val="single" w:color="D86ECC" w:themeColor="accent5" w:themeTint="99" w:sz="4"/>
        <w:left w:val="single" w:color="D86ECC" w:themeColor="accent5" w:themeTint="99" w:sz="4"/>
        <w:right w:val="single" w:color="D86ECC" w:themeColor="accent5" w:themeTint="99" w:sz="4"/>
        <w:top w:val="single" w:color="D86EC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CFEE" w:themeFill="accent5" w:themeFillTint="33" w:color="auto" w:val="clear"/>
      </w:tcPr>
    </w:tblStylePr>
    <w:tblStylePr w:type="band1Vert">
      <w:tcPr>
        <w:shd w:fill="F2CFEE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A02B93" w:themeFill="accent5" w:color="auto" w:val="clear"/>
        <w:tcBorders>
          <w:bottom w:val="single" w:color="A02B93" w:themeColor="accent5" w:sz="4"/>
          <w:insideH w:val="nil"/>
          <w:left w:val="single" w:color="A02B93" w:themeColor="accent5" w:sz="4"/>
          <w:right w:val="single" w:color="A02B93" w:themeColor="accent5" w:sz="4"/>
          <w:top w:val="single" w:color="A02B93" w:themeColor="accent5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D86ECC" w:themeColor="accent5" w:themeTint="99" w:sz="4"/>
        </w:tcBorders>
      </w:tcPr>
    </w:tblStylePr>
  </w:style>
  <w:style w:styleId="PO120" w:type="table">
    <w:name w:val="List Table 4 Accent 6"/>
    <w:basedOn w:val="PO3"/>
    <w:uiPriority w:val="-1"/>
    <w:pPr>
      <w:spacing w:lineRule="auto" w:line="240" w:after="0"/>
      <w:rPr/>
    </w:pPr>
    <w:tblPr>
      <w:tblBorders>
        <w:bottom w:val="single" w:color="8ED973" w:themeColor="accent6" w:themeTint="99" w:sz="4"/>
        <w:insideH w:val="single" w:color="8ED973" w:themeColor="accent6" w:themeTint="99" w:sz="4"/>
        <w:left w:val="single" w:color="8ED973" w:themeColor="accent6" w:themeTint="99" w:sz="4"/>
        <w:right w:val="single" w:color="8ED973" w:themeColor="accent6" w:themeTint="99" w:sz="4"/>
        <w:top w:val="single" w:color="8ED973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9F2D0" w:themeFill="accent6" w:themeFillTint="33" w:color="auto" w:val="clear"/>
      </w:tcPr>
    </w:tblStylePr>
    <w:tblStylePr w:type="band1Vert">
      <w:tcPr>
        <w:shd w:fill="D9F2D0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4EA72E" w:themeFill="accent6" w:color="auto" w:val="clear"/>
        <w:tcBorders>
          <w:bottom w:val="single" w:color="4EA72E" w:themeColor="accent6" w:sz="4"/>
          <w:insideH w:val="nil"/>
          <w:left w:val="single" w:color="4EA72E" w:themeColor="accent6" w:sz="4"/>
          <w:right w:val="single" w:color="4EA72E" w:themeColor="accent6" w:sz="4"/>
          <w:top w:val="single" w:color="4EA72E" w:themeColor="accent6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8ED973" w:themeColor="accent6" w:themeTint="99" w:sz="4"/>
        </w:tcBorders>
      </w:tcPr>
    </w:tblStylePr>
  </w:style>
  <w:style w:styleId="PO121" w:type="table">
    <w:name w:val="List Table 5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156082" w:themeColor="accent1" w:sz="24"/>
        <w:left w:val="single" w:color="156082" w:themeColor="accent1" w:sz="24"/>
        <w:right w:val="single" w:color="156082" w:themeColor="accent1" w:sz="24"/>
        <w:top w:val="single" w:color="156082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156082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E97132" w:themeColor="accent2" w:sz="24"/>
        <w:left w:val="single" w:color="E97132" w:themeColor="accent2" w:sz="24"/>
        <w:right w:val="single" w:color="E97132" w:themeColor="accent2" w:sz="24"/>
        <w:top w:val="single" w:color="E97132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97132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196B24" w:themeColor="accent3" w:sz="24"/>
        <w:left w:val="single" w:color="196B24" w:themeColor="accent3" w:sz="24"/>
        <w:right w:val="single" w:color="196B24" w:themeColor="accent3" w:sz="24"/>
        <w:top w:val="single" w:color="196B24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196B24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0F9ED5" w:themeColor="accent4" w:sz="24"/>
        <w:left w:val="single" w:color="0F9ED5" w:themeColor="accent4" w:sz="24"/>
        <w:right w:val="single" w:color="0F9ED5" w:themeColor="accent4" w:sz="24"/>
        <w:top w:val="single" w:color="0F9ED5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F9ED5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A02B93" w:themeColor="accent5" w:sz="24"/>
        <w:left w:val="single" w:color="A02B93" w:themeColor="accent5" w:sz="24"/>
        <w:right w:val="single" w:color="A02B93" w:themeColor="accent5" w:sz="24"/>
        <w:top w:val="single" w:color="A02B93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02B93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4EA72E" w:themeColor="accent6" w:sz="24"/>
        <w:left w:val="single" w:color="4EA72E" w:themeColor="accent6" w:sz="24"/>
        <w:right w:val="single" w:color="4EA72E" w:themeColor="accent6" w:sz="24"/>
        <w:top w:val="single" w:color="4EA72E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EA72E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-1"/>
    <w:pPr>
      <w:spacing w:lineRule="auto" w:line="240" w:after="0"/>
      <w:rPr/>
    </w:pPr>
    <w:rPr>
      <w:color w:val="0F4761" w:themeColor="accent1" w:themeShade="BE"/>
      <w:shd w:val="clear"/>
    </w:rPr>
    <w:tblPr>
      <w:tblBorders>
        <w:bottom w:val="single" w:color="156082" w:themeColor="accent1" w:sz="4"/>
        <w:top w:val="single" w:color="156082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1E5F5" w:themeFill="accent1" w:themeFillTint="33" w:color="auto" w:val="clear"/>
      </w:tcPr>
    </w:tblStylePr>
    <w:tblStylePr w:type="band1Vert">
      <w:tcPr>
        <w:shd w:fill="C1E5F5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156082" w:themeColor="accen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156082" w:themeColor="accent1" w:sz="4"/>
        </w:tcBorders>
      </w:tcPr>
    </w:tblStylePr>
  </w:style>
  <w:style w:styleId="PO130" w:type="table">
    <w:name w:val="List Table 6 Colorful Accent 2"/>
    <w:basedOn w:val="PO3"/>
    <w:uiPriority w:val="-1"/>
    <w:pPr>
      <w:spacing w:lineRule="auto" w:line="240" w:after="0"/>
      <w:rPr/>
    </w:pPr>
    <w:rPr>
      <w:color w:val="BF4F14" w:themeColor="accent2" w:themeShade="BE"/>
      <w:shd w:val="clear"/>
    </w:rPr>
    <w:tblPr>
      <w:tblBorders>
        <w:bottom w:val="single" w:color="E97132" w:themeColor="accent2" w:sz="4"/>
        <w:top w:val="single" w:color="E97132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3D6" w:themeFill="accent2" w:themeFillTint="33" w:color="auto" w:val="clear"/>
      </w:tcPr>
    </w:tblStylePr>
    <w:tblStylePr w:type="band1Vert">
      <w:tcPr>
        <w:shd w:fill="FBE3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E97132" w:themeColor="accent2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E97132" w:themeColor="accent2" w:sz="4"/>
        </w:tcBorders>
      </w:tcPr>
    </w:tblStylePr>
  </w:style>
  <w:style w:styleId="PO131" w:type="table">
    <w:name w:val="List Table 6 Colorful Accent 3"/>
    <w:basedOn w:val="PO3"/>
    <w:uiPriority w:val="-1"/>
    <w:pPr>
      <w:spacing w:lineRule="auto" w:line="240" w:after="0"/>
      <w:rPr/>
    </w:pPr>
    <w:rPr>
      <w:color w:val="12501A" w:themeColor="accent3" w:themeShade="BE"/>
      <w:shd w:val="clear"/>
    </w:rPr>
    <w:tblPr>
      <w:tblBorders>
        <w:bottom w:val="single" w:color="196B24" w:themeColor="accent3" w:sz="4"/>
        <w:top w:val="single" w:color="196B24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2F1C8" w:themeFill="accent3" w:themeFillTint="33" w:color="auto" w:val="clear"/>
      </w:tcPr>
    </w:tblStylePr>
    <w:tblStylePr w:type="band1Vert">
      <w:tcPr>
        <w:shd w:fill="C2F1C8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196B24" w:themeColor="accent3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196B24" w:themeColor="accent3" w:sz="4"/>
        </w:tcBorders>
      </w:tcPr>
    </w:tblStylePr>
  </w:style>
  <w:style w:styleId="PO132" w:type="table">
    <w:name w:val="List Table 6 Colorful Accent 4"/>
    <w:basedOn w:val="PO3"/>
    <w:uiPriority w:val="-1"/>
    <w:pPr>
      <w:spacing w:lineRule="auto" w:line="240" w:after="0"/>
      <w:rPr/>
    </w:pPr>
    <w:rPr>
      <w:color w:val="0B769F" w:themeColor="accent4" w:themeShade="BE"/>
      <w:shd w:val="clear"/>
    </w:rPr>
    <w:tblPr>
      <w:tblBorders>
        <w:bottom w:val="single" w:color="0F9ED5" w:themeColor="accent4" w:sz="4"/>
        <w:top w:val="single" w:color="0F9ED5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AEEFB" w:themeFill="accent4" w:themeFillTint="33" w:color="auto" w:val="clear"/>
      </w:tcPr>
    </w:tblStylePr>
    <w:tblStylePr w:type="band1Vert">
      <w:tcPr>
        <w:shd w:fill="CAEEFB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0F9ED5" w:themeColor="accent4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0F9ED5" w:themeColor="accent4" w:sz="4"/>
        </w:tcBorders>
      </w:tcPr>
    </w:tblStylePr>
  </w:style>
  <w:style w:styleId="PO133" w:type="table">
    <w:name w:val="List Table 6 Colorful Accent 5"/>
    <w:basedOn w:val="PO3"/>
    <w:uiPriority w:val="-1"/>
    <w:pPr>
      <w:spacing w:lineRule="auto" w:line="240" w:after="0"/>
      <w:rPr/>
    </w:pPr>
    <w:rPr>
      <w:color w:val="77206E" w:themeColor="accent5" w:themeShade="BE"/>
      <w:shd w:val="clear"/>
    </w:rPr>
    <w:tblPr>
      <w:tblBorders>
        <w:bottom w:val="single" w:color="A02B93" w:themeColor="accent5" w:sz="4"/>
        <w:top w:val="single" w:color="A02B93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CFEE" w:themeFill="accent5" w:themeFillTint="33" w:color="auto" w:val="clear"/>
      </w:tcPr>
    </w:tblStylePr>
    <w:tblStylePr w:type="band1Vert">
      <w:tcPr>
        <w:shd w:fill="F2CFEE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A02B93" w:themeColor="accent5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A02B93" w:themeColor="accent5" w:sz="4"/>
        </w:tcBorders>
      </w:tcPr>
    </w:tblStylePr>
  </w:style>
  <w:style w:styleId="PO134" w:type="table">
    <w:name w:val="List Table 6 Colorful Accent 6"/>
    <w:basedOn w:val="PO3"/>
    <w:uiPriority w:val="-1"/>
    <w:pPr>
      <w:spacing w:lineRule="auto" w:line="240" w:after="0"/>
      <w:rPr/>
    </w:pPr>
    <w:rPr>
      <w:color w:val="3A7D22" w:themeColor="accent6" w:themeShade="BE"/>
      <w:shd w:val="clear"/>
    </w:rPr>
    <w:tblPr>
      <w:tblBorders>
        <w:bottom w:val="single" w:color="4EA72E" w:themeColor="accent6" w:sz="4"/>
        <w:top w:val="single" w:color="4EA72E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9F2D0" w:themeFill="accent6" w:themeFillTint="33" w:color="auto" w:val="clear"/>
      </w:tcPr>
    </w:tblStylePr>
    <w:tblStylePr w:type="band1Vert">
      <w:tcPr>
        <w:shd w:fill="D9F2D0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4EA72E" w:themeColor="accent6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4EA72E" w:themeColor="accent6" w:sz="4"/>
        </w:tcBorders>
      </w:tcPr>
    </w:tblStylePr>
  </w:style>
  <w:style w:styleId="PO135" w:type="table">
    <w:name w:val="List Table 7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-1"/>
    <w:pPr>
      <w:spacing w:lineRule="auto" w:line="240" w:after="0"/>
      <w:rPr/>
    </w:pPr>
    <w:rPr>
      <w:color w:val="0F4761" w:themeColor="accent1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AED" w:themeFill="accent1" w:themeFillTint="33" w:color="auto" w:val="clear"/>
      </w:tcPr>
    </w:tblStylePr>
    <w:tblStylePr w:type="band1Vert">
      <w:tcPr>
        <w:shd w:fill="E7EAED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156082" w:themeColor="accent1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156082" w:themeColor="accent1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156082" w:themeColor="accent1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156082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-1"/>
    <w:pPr>
      <w:spacing w:lineRule="auto" w:line="240" w:after="0"/>
      <w:rPr/>
    </w:pPr>
    <w:rPr>
      <w:color w:val="BF4F14" w:themeColor="accent2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BE8" w:themeFill="accent2" w:themeFillTint="33" w:color="auto" w:val="clear"/>
      </w:tcPr>
    </w:tblStylePr>
    <w:tblStylePr w:type="band1Vert">
      <w:tcPr>
        <w:shd w:fill="FBEBE8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E97132" w:themeColor="accent2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E97132" w:themeColor="accent2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E97132" w:themeColor="accent2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E97132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-1"/>
    <w:pPr>
      <w:spacing w:lineRule="auto" w:line="240" w:after="0"/>
      <w:rPr/>
    </w:pPr>
    <w:rPr>
      <w:color w:val="12501A" w:themeColor="accent3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BE8" w:themeFill="accent3" w:themeFillTint="33" w:color="auto" w:val="clear"/>
      </w:tcPr>
    </w:tblStylePr>
    <w:tblStylePr w:type="band1Vert">
      <w:tcPr>
        <w:shd w:fill="E7EBE8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196B24" w:themeColor="accent3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196B24" w:themeColor="accent3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196B24" w:themeColor="accent3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196B24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-1"/>
    <w:pPr>
      <w:spacing w:lineRule="auto" w:line="240" w:after="0"/>
      <w:rPr/>
    </w:pPr>
    <w:rPr>
      <w:color w:val="0B769F" w:themeColor="accent4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F0F7" w:themeFill="accent4" w:themeFillTint="33" w:color="auto" w:val="clear"/>
      </w:tcPr>
    </w:tblStylePr>
    <w:tblStylePr w:type="band1Vert">
      <w:tcPr>
        <w:shd w:fill="E7F0F7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0F9ED5" w:themeColor="accent4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0F9ED5" w:themeColor="accent4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0F9ED5" w:themeColor="accent4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0F9ED5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-1"/>
    <w:pPr>
      <w:spacing w:lineRule="auto" w:line="240" w:after="0"/>
      <w:rPr/>
    </w:pPr>
    <w:rPr>
      <w:color w:val="77206E" w:themeColor="accent5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E8EE" w:themeFill="accent5" w:themeFillTint="33" w:color="auto" w:val="clear"/>
      </w:tcPr>
    </w:tblStylePr>
    <w:tblStylePr w:type="band1Vert">
      <w:tcPr>
        <w:shd w:fill="F0E8EE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A02B93" w:themeColor="accent5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A02B93" w:themeColor="accent5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A02B93" w:themeColor="accent5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A02B93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-1"/>
    <w:pPr>
      <w:spacing w:lineRule="auto" w:line="240" w:after="0"/>
      <w:rPr/>
    </w:pPr>
    <w:rPr>
      <w:color w:val="3A7D22" w:themeColor="accent6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F1E8" w:themeFill="accent6" w:themeFillTint="33" w:color="auto" w:val="clear"/>
      </w:tcPr>
    </w:tblStylePr>
    <w:tblStylePr w:type="band1Vert">
      <w:tcPr>
        <w:shd w:fill="E9F1E8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4EA72E" w:themeColor="accent6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4EA72E" w:themeColor="accent6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4EA72E" w:themeColor="accent6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4EA72E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uiPriority w:val="-1"/>
    <w:pPr>
      <w:jc w:val="left"/>
      <w:spacing w:lineRule="auto" w:line="240" w:after="0"/>
      <w:rPr/>
    </w:pPr>
    <w:rPr>
      <w:sz w:val="22"/>
      <w:szCs w:val="22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uto" w:val="nil"/>
    </w:tcPr>
    <w:tblStylePr w:type="band1Horz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fill="auto"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  <w:shd w:val="clear"/>
      </w:rPr>
      <w:tcPr>
        <w:vAlign w:val="bottom"/>
      </w:tcPr>
    </w:tblStylePr>
    <w:tblStylePr w:type="lastRow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customStyle="1" w:styleId="PO151" w:type="character">
    <w:name w:val="제목 1 Char"/>
    <w:basedOn w:val="PO2"/>
    <w:link w:val="PO7"/>
    <w:uiPriority w:val="9"/>
    <w:rPr>
      <w:color w:val="000000" w:themeColor="text1"/>
      <w:sz w:val="32"/>
      <w:szCs w:val="32"/>
      <w:shd w:val="clear"/>
      <w:rFonts w:asciiTheme="majorHAnsi" w:eastAsiaTheme="majorEastAsia" w:hAnsiTheme="majorHAnsi" w:cstheme="majorBidi"/>
    </w:rPr>
  </w:style>
  <w:style w:customStyle="1" w:styleId="PO152" w:type="character">
    <w:name w:val="제목 2 Char"/>
    <w:basedOn w:val="PO2"/>
    <w:link w:val="PO8"/>
    <w:uiPriority w:val="9"/>
    <w:rPr>
      <w:color w:val="000000" w:themeColor="text1"/>
      <w:sz w:val="28"/>
      <w:szCs w:val="28"/>
      <w:shd w:val="clear"/>
      <w:rFonts w:asciiTheme="majorHAnsi" w:eastAsiaTheme="majorEastAsia" w:hAnsiTheme="majorHAnsi" w:cstheme="majorBidi"/>
    </w:rPr>
  </w:style>
  <w:style w:customStyle="1" w:styleId="PO153" w:type="character">
    <w:name w:val="제목 3 Char"/>
    <w:basedOn w:val="PO2"/>
    <w:link w:val="PO9"/>
    <w:uiPriority w:val="9"/>
    <w:rPr>
      <w:color w:val="000000" w:themeColor="text1"/>
      <w:sz w:val="24"/>
      <w:szCs w:val="24"/>
      <w:shd w:val="clear"/>
      <w:rFonts w:asciiTheme="majorHAnsi" w:eastAsiaTheme="majorEastAsia" w:hAnsiTheme="majorHAnsi" w:cstheme="majorBidi"/>
    </w:rPr>
  </w:style>
  <w:style w:customStyle="1" w:styleId="PO154" w:type="character">
    <w:name w:val="제목 4 Char"/>
    <w:basedOn w:val="PO2"/>
    <w:link w:val="PO10"/>
    <w:uiPriority w:val="9"/>
    <w:rPr>
      <w:color w:val="000000" w:themeColor="text1"/>
      <w:shd w:val="clear"/>
      <w:rFonts w:asciiTheme="majorHAnsi" w:eastAsiaTheme="majorEastAsia" w:hAnsiTheme="majorHAnsi" w:cstheme="majorBidi"/>
    </w:rPr>
  </w:style>
  <w:style w:customStyle="1" w:styleId="PO155" w:type="character">
    <w:name w:val="제목 5 Char"/>
    <w:basedOn w:val="PO2"/>
    <w:link w:val="PO11"/>
    <w:uiPriority w:val="9"/>
    <w:rPr>
      <w:color w:val="000000" w:themeColor="text1"/>
      <w:shd w:val="clear"/>
      <w:rFonts w:asciiTheme="majorHAnsi" w:eastAsiaTheme="majorEastAsia" w:hAnsiTheme="majorHAnsi" w:cstheme="majorBidi"/>
    </w:rPr>
  </w:style>
  <w:style w:customStyle="1" w:styleId="PO156" w:type="character">
    <w:name w:val="제목 6 Char"/>
    <w:basedOn w:val="PO2"/>
    <w:link w:val="PO12"/>
    <w:uiPriority w:val="9"/>
    <w:semiHidden/>
    <w:rPr>
      <w:color w:val="000000" w:themeColor="text1"/>
      <w:shd w:val="clear"/>
      <w:rFonts w:asciiTheme="majorHAnsi" w:eastAsiaTheme="majorEastAsia" w:hAnsiTheme="majorHAnsi" w:cstheme="majorBidi"/>
    </w:rPr>
  </w:style>
  <w:style w:customStyle="1" w:styleId="PO157" w:type="character">
    <w:name w:val="제목 7 Char"/>
    <w:basedOn w:val="PO2"/>
    <w:link w:val="PO13"/>
    <w:uiPriority w:val="9"/>
    <w:semiHidden/>
    <w:rPr>
      <w:color w:val="000000" w:themeColor="text1"/>
      <w:shd w:val="clear"/>
      <w:rFonts w:asciiTheme="majorHAnsi" w:eastAsiaTheme="majorEastAsia" w:hAnsiTheme="majorHAnsi" w:cstheme="majorBidi"/>
    </w:rPr>
  </w:style>
  <w:style w:customStyle="1" w:styleId="PO158" w:type="character">
    <w:name w:val="제목 8 Char"/>
    <w:basedOn w:val="PO2"/>
    <w:link w:val="PO14"/>
    <w:uiPriority w:val="9"/>
    <w:semiHidden/>
    <w:rPr>
      <w:color w:val="000000" w:themeColor="text1"/>
      <w:shd w:val="clear"/>
      <w:rFonts w:asciiTheme="majorHAnsi" w:eastAsiaTheme="majorEastAsia" w:hAnsiTheme="majorHAnsi" w:cstheme="majorBidi"/>
    </w:rPr>
  </w:style>
  <w:style w:customStyle="1" w:styleId="PO159" w:type="character">
    <w:name w:val="제목 9 Char"/>
    <w:basedOn w:val="PO2"/>
    <w:link w:val="PO15"/>
    <w:uiPriority w:val="9"/>
    <w:semiHidden/>
    <w:rPr>
      <w:color w:val="000000" w:themeColor="text1"/>
      <w:shd w:val="clear"/>
      <w:rFonts w:asciiTheme="majorHAnsi" w:eastAsiaTheme="majorEastAsia" w:hAnsiTheme="majorHAnsi" w:cstheme="majorBidi"/>
    </w:rPr>
  </w:style>
  <w:style w:customStyle="1" w:styleId="PO160" w:type="character">
    <w:name w:val="제목 Char"/>
    <w:basedOn w:val="PO2"/>
    <w:link w:val="PO6"/>
    <w:uiPriority w:val="10"/>
    <w:rPr>
      <w:spacing w:val="-10"/>
      <w:sz w:val="56"/>
      <w:szCs w:val="56"/>
      <w:shd w:val="clear"/>
      <w:rFonts w:asciiTheme="majorHAnsi" w:eastAsiaTheme="majorEastAsia" w:hAnsiTheme="majorHAnsi" w:cstheme="majorBidi"/>
    </w:rPr>
  </w:style>
  <w:style w:customStyle="1" w:styleId="PO161" w:type="character">
    <w:name w:val="부제 Char"/>
    <w:basedOn w:val="PO2"/>
    <w:link w:val="PO16"/>
    <w:uiPriority w:val="11"/>
    <w:rPr>
      <w:spacing w:val="15"/>
      <w:color w:val="595959" w:themeColor="text1" w:themeTint="A5"/>
      <w:sz w:val="28"/>
      <w:szCs w:val="28"/>
      <w:shd w:val="clear"/>
      <w:rFonts w:asciiTheme="majorHAnsi" w:eastAsiaTheme="majorEastAsia" w:hAnsiTheme="majorHAnsi" w:cstheme="majorBidi"/>
    </w:rPr>
  </w:style>
  <w:style w:customStyle="1" w:styleId="PO162" w:type="character">
    <w:name w:val="인용 Char"/>
    <w:basedOn w:val="PO2"/>
    <w:link w:val="PO21"/>
    <w:uiPriority w:val="29"/>
    <w:rPr>
      <w:i w:val="1"/>
      <w:color w:val="404040" w:themeColor="text1" w:themeTint="BF"/>
      <w:shd w:val="clear"/>
    </w:rPr>
  </w:style>
  <w:style w:customStyle="1" w:styleId="PO163" w:type="character">
    <w:name w:val="강한 인용 Char"/>
    <w:basedOn w:val="PO2"/>
    <w:link w:val="PO22"/>
    <w:uiPriority w:val="30"/>
    <w:rPr>
      <w:i w:val="1"/>
      <w:color w:val="0F4761" w:themeColor="accent1" w:themeShade="BF"/>
      <w:shd w:val="clear"/>
    </w:rPr>
  </w:style>
  <w:style w:styleId="PO164" w:type="character">
    <w:name w:val="Hyperlink"/>
    <w:basedOn w:val="PO2"/>
    <w:uiPriority w:val="99"/>
    <w:unhideWhenUsed/>
    <w:rPr>
      <w:color w:val="467886" w:themeColor="hyperlink"/>
      <w:u w:val="single"/>
      <w:shd w:val="clear"/>
    </w:rPr>
  </w:style>
  <w:style w:styleId="PO165" w:type="character">
    <w:name w:val="Unresolved Mention"/>
    <w:basedOn w:val="PO2"/>
    <w:uiPriority w:val="99"/>
    <w:semiHidden/>
    <w:unhideWhenUsed/>
    <w:rPr>
      <w:color w:val="605E5C"/>
      <w:shd w:val="clear" w:color="auto" w:fill="E1DFDD"/>
    </w:rPr>
  </w:style>
  <w:style w:styleId="PO166" w:type="paragraph">
    <w:name w:val="Normal (Web)"/>
    <w:basedOn w:val="PO1"/>
    <w:uiPriority w:val="99"/>
    <w:unhideWhenUsed/>
    <w:pPr>
      <w:spacing w:before="100" w:beforeAutospacing="1" w:after="100" w:afterAutospacing="1"/>
      <w:rPr/>
      <w:wordWrap w:val="1"/>
      <w:widowControl w:val="1"/>
      <w:autoSpaceDE w:val="1"/>
      <w:autoSpaceDN w:val="1"/>
    </w:pPr>
    <w:rPr>
      <w:sz w:val="24"/>
      <w:szCs w:val="24"/>
      <w:shd w:val="clear"/>
      <w:rFonts w:ascii="굴림" w:eastAsia="굴림" w:hAnsi="굴림" w:cs="굴림"/>
    </w:rPr>
  </w:style>
  <w:style w:styleId="PO167" w:type="character">
    <w:name w:val="annotation reference"/>
    <w:basedOn w:val="PO2"/>
    <w:uiPriority w:val="99"/>
    <w:semiHidden/>
    <w:unhideWhenUsed/>
    <w:rPr>
      <w:sz w:val="18"/>
      <w:szCs w:val="18"/>
      <w:shd w:val="clear"/>
    </w:rPr>
  </w:style>
  <w:style w:styleId="PO168" w:type="paragraph">
    <w:name w:val="annotation text"/>
    <w:basedOn w:val="PO1"/>
    <w:link w:val="PO169"/>
    <w:uiPriority w:val="99"/>
    <w:unhideWhenUsed/>
  </w:style>
  <w:style w:customStyle="1" w:styleId="PO169" w:type="character">
    <w:name w:val="메모 텍스트 Char"/>
    <w:basedOn w:val="PO2"/>
    <w:link w:val="PO168"/>
    <w:uiPriority w:val="99"/>
  </w:style>
  <w:style w:styleId="PO170" w:type="paragraph">
    <w:name w:val="annotation subject"/>
    <w:basedOn w:val="PO168"/>
    <w:next w:val="PO168"/>
    <w:link w:val="PO171"/>
    <w:uiPriority w:val="99"/>
    <w:semiHidden/>
    <w:unhideWhenUsed/>
    <w:rPr>
      <w:b w:val="1"/>
      <w:shd w:val="clear"/>
    </w:rPr>
  </w:style>
  <w:style w:customStyle="1" w:styleId="PO171" w:type="character">
    <w:name w:val="메모 주제 Char"/>
    <w:basedOn w:val="PO169"/>
    <w:link w:val="PO170"/>
    <w:uiPriority w:val="99"/>
    <w:semiHidden/>
    <w:rPr>
      <w:b w:val="1"/>
      <w:shd w:val="clear"/>
    </w:rPr>
  </w:style>
  <w:style w:customStyle="1" w:styleId="PO172" w:type="character">
    <w:name w:val="katex-mathml"/>
    <w:basedOn w:val="PO2"/>
  </w:style>
  <w:style w:customStyle="1" w:styleId="PO173" w:type="character">
    <w:name w:val="mord"/>
    <w:basedOn w:val="PO2"/>
  </w:style>
  <w:style w:customStyle="1" w:styleId="PO174" w:type="character">
    <w:name w:val="vlist-s"/>
    <w:basedOn w:val="PO2"/>
  </w:style>
  <w:style w:customStyle="1" w:styleId="PO175" w:type="character">
    <w:name w:val="mrel"/>
    <w:basedOn w:val="PO2"/>
  </w:style>
  <w:style w:customStyle="1" w:styleId="PO176" w:type="character">
    <w:name w:val="mopen"/>
    <w:basedOn w:val="PO2"/>
  </w:style>
  <w:style w:customStyle="1" w:styleId="PO177" w:type="character">
    <w:name w:val="mbin"/>
    <w:basedOn w:val="PO2"/>
  </w:style>
  <w:style w:customStyle="1" w:styleId="PO178" w:type="character">
    <w:name w:val="mclose"/>
    <w:basedOn w:val="PO2"/>
  </w:style>
  <w:style w:styleId="PO179" w:type="character">
    <w:name w:val="HTML Code"/>
    <w:basedOn w:val="PO2"/>
    <w:uiPriority w:val="99"/>
    <w:semiHidden/>
    <w:unhideWhenUsed/>
    <w:rPr>
      <w:sz w:val="24"/>
      <w:szCs w:val="24"/>
      <w:shd w:val="clear"/>
      <w:rFonts w:ascii="굴림체" w:eastAsia="굴림체" w:hAnsi="굴림체" w:cs="굴림체"/>
    </w:rPr>
  </w:style>
  <w:style w:styleId="PO180" w:type="character">
    <w:name w:val="FollowedHyperlink"/>
    <w:basedOn w:val="PO2"/>
    <w:uiPriority w:val="99"/>
    <w:semiHidden/>
    <w:unhideWhenUsed/>
    <w:rPr>
      <w:color w:val="96607D" w:themeColor="followedHyperlink"/>
      <w:u w:val="single"/>
      <w:shd w:val="clea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image3.png"></Relationship><Relationship Id="rId8" Type="http://schemas.openxmlformats.org/officeDocument/2006/relationships/image" Target="media/image4.png"></Relationship><Relationship Id="rId9" Type="http://schemas.openxmlformats.org/officeDocument/2006/relationships/image" Target="media/image5.png"></Relationship><Relationship Id="rId10" Type="http://schemas.openxmlformats.org/officeDocument/2006/relationships/image" Target="media/image6.png"></Relationship><Relationship Id="rId11" Type="http://schemas.openxmlformats.org/officeDocument/2006/relationships/image" Target="media/image7.png"></Relationship><Relationship Id="rId12" Type="http://schemas.openxmlformats.org/officeDocument/2006/relationships/image" Target="media/image8.png"></Relationship><Relationship Id="rId13" Type="http://schemas.openxmlformats.org/officeDocument/2006/relationships/image" Target="media/image9.png"></Relationship><Relationship Id="rId14" Type="http://schemas.openxmlformats.org/officeDocument/2006/relationships/image" Target="media/image10.png"></Relationship><Relationship Id="rId15" Type="http://schemas.openxmlformats.org/officeDocument/2006/relationships/image" Target="media/image11.png"></Relationship><Relationship Id="rId16" Type="http://schemas.openxmlformats.org/officeDocument/2006/relationships/image" Target="media/image12.png"></Relationship><Relationship Id="rId17" Type="http://schemas.openxmlformats.org/officeDocument/2006/relationships/image" Target="media/image13.png"></Relationship><Relationship Id="rId18" Type="http://schemas.openxmlformats.org/officeDocument/2006/relationships/image" Target="media/image14.png"></Relationship><Relationship Id="rId19" Type="http://schemas.openxmlformats.org/officeDocument/2006/relationships/image" Target="media/image15.png"></Relationship><Relationship Id="rId20" Type="http://schemas.openxmlformats.org/officeDocument/2006/relationships/image" Target="media/image16.png"></Relationship><Relationship Id="rId21" Type="http://schemas.openxmlformats.org/officeDocument/2006/relationships/image" Target="media/image17.png"></Relationship><Relationship Id="rId22" Type="http://schemas.openxmlformats.org/officeDocument/2006/relationships/image" Target="media/image18.png"></Relationship><Relationship Id="rId23" Type="http://schemas.openxmlformats.org/officeDocument/2006/relationships/image" Target="media/image19.png"></Relationship><Relationship Id="rId24" Type="http://schemas.openxmlformats.org/officeDocument/2006/relationships/image" Target="media/image20.png"></Relationship><Relationship Id="rId25" Type="http://schemas.openxmlformats.org/officeDocument/2006/relationships/image" Target="media/image21.png"></Relationship><Relationship Id="rId26" Type="http://schemas.openxmlformats.org/officeDocument/2006/relationships/image" Target="media/image22.png"></Relationship><Relationship Id="rId27" Type="http://schemas.openxmlformats.org/officeDocument/2006/relationships/image" Target="media/image23.png"></Relationship><Relationship Id="rId28" Type="http://schemas.openxmlformats.org/officeDocument/2006/relationships/image" Target="media/image24.png"></Relationship><Relationship Id="rId29" Type="http://schemas.openxmlformats.org/officeDocument/2006/relationships/image" Target="media/image25.png"></Relationship><Relationship Id="rId30" Type="http://schemas.openxmlformats.org/officeDocument/2006/relationships/image" Target="media/image26.png"></Relationship><Relationship Id="rId31" Type="http://schemas.openxmlformats.org/officeDocument/2006/relationships/image" Target="media/image27.png"></Relationship><Relationship Id="rId32" Type="http://schemas.openxmlformats.org/officeDocument/2006/relationships/image" Target="media/image28.png"></Relationship><Relationship Id="rId33" Type="http://schemas.openxmlformats.org/officeDocument/2006/relationships/image" Target="media/image29.png"></Relationship><Relationship Id="rId34" Type="http://schemas.openxmlformats.org/officeDocument/2006/relationships/image" Target="media/image30.png"></Relationship><Relationship Id="rId35" Type="http://schemas.openxmlformats.org/officeDocument/2006/relationships/image" Target="media/image31.png"></Relationship><Relationship Id="rId36" Type="http://schemas.openxmlformats.org/officeDocument/2006/relationships/image" Target="media/image32.png"></Relationship><Relationship Id="rId37" Type="http://schemas.openxmlformats.org/officeDocument/2006/relationships/image" Target="media/image33.png"></Relationship><Relationship Id="rId38" Type="http://schemas.openxmlformats.org/officeDocument/2006/relationships/image" Target="media/image34.png"></Relationship><Relationship Id="rId39" Type="http://schemas.openxmlformats.org/officeDocument/2006/relationships/image" Target="media/image35.png"></Relationship><Relationship Id="rId40" Type="http://schemas.openxmlformats.org/officeDocument/2006/relationships/image" Target="media/image36.png"></Relationship><Relationship Id="rId41" Type="http://schemas.openxmlformats.org/officeDocument/2006/relationships/image" Target="media/image37.png"></Relationship><Relationship Id="rId42" Type="http://schemas.openxmlformats.org/officeDocument/2006/relationships/numbering" Target="numbering.xml"></Relationship><Relationship Id="rId43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42195</Characters>
  <CharactersWithSpaces>0</CharactersWithSpaces>
  <DocSecurity>0</DocSecurity>
  <HyperlinksChanged>false</HyperlinksChanged>
  <Lines>299</Lines>
  <LinksUpToDate>false</LinksUpToDate>
  <Pages>59</Pages>
  <Paragraphs>84</Paragraphs>
  <Words>6310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백형준</dc:creator>
  <cp:lastModifiedBy>백형준</cp:lastModifiedBy>
  <cp:version>9.104.180.50690</cp:version>
  <dcterms:modified xsi:type="dcterms:W3CDTF">2024-06-30T18:12:00Z</dcterms:modified>
</cp:coreProperties>
</file>