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Verificado dep.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Verificado dep. calidad.</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Verificado dep.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r w:rsidRPr="00FD2FBD">
              <w:rPr>
                <w:rFonts w:asciiTheme="majorHAnsi" w:hAnsiTheme="majorHAnsi" w:cs="Arial"/>
                <w:sz w:val="24"/>
                <w:lang w:val="fr-FR"/>
              </w:rPr>
              <w:t>Por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r w:rsidRPr="00FD2FBD">
              <w:rPr>
                <w:rFonts w:asciiTheme="majorHAnsi" w:hAnsiTheme="majorHAnsi" w:cs="Arial"/>
                <w:sz w:val="24"/>
                <w:lang w:val="fr-FR"/>
              </w:rPr>
              <w:t xml:space="preserve">Por la empresa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1E2B61"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1E2B61"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1E2B61"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1E2B61"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1E2B61"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1E2B61"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1E2B61"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1E2B61"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CD6F9C" w:rsidRPr="00FD2FBD">
              <w:rPr>
                <w:rFonts w:asciiTheme="majorHAnsi" w:hAnsiTheme="majorHAnsi"/>
                <w:sz w:val="24"/>
              </w:rPr>
              <w:t>holder</w:t>
            </w:r>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Fb: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Abisai </w:t>
            </w:r>
            <w:r w:rsidR="00FD2FBD" w:rsidRPr="00FD2FBD">
              <w:rPr>
                <w:rFonts w:asciiTheme="majorHAnsi" w:hAnsiTheme="majorHAnsi"/>
                <w:sz w:val="24"/>
              </w:rPr>
              <w:t>Sánchez</w:t>
            </w:r>
            <w:r w:rsidRPr="00FD2FBD">
              <w:rPr>
                <w:rFonts w:asciiTheme="majorHAnsi" w:hAnsiTheme="majorHAnsi"/>
                <w:sz w:val="24"/>
              </w:rPr>
              <w:t xml:space="preserve"> Garcia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r>
              <w:rPr>
                <w:rFonts w:asciiTheme="majorHAnsi" w:hAnsiTheme="majorHAnsi"/>
                <w:sz w:val="24"/>
              </w:rPr>
              <w:t>Stak</w:t>
            </w:r>
            <w:r w:rsidR="004E183B" w:rsidRPr="00FD2FBD">
              <w:rPr>
                <w:rFonts w:asciiTheme="majorHAnsi" w:hAnsiTheme="majorHAnsi"/>
                <w:sz w:val="24"/>
              </w:rPr>
              <w:t>eholder</w:t>
            </w:r>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Fb: Lemu Sanchez</w:t>
            </w:r>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FD2FBD" w:rsidRPr="00FD2FBD">
              <w:rPr>
                <w:rFonts w:asciiTheme="majorHAnsi" w:hAnsiTheme="majorHAnsi"/>
                <w:sz w:val="24"/>
              </w:rPr>
              <w:t>holder</w:t>
            </w:r>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Fb: Rubén Galvan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bookmarkStart w:id="20" w:name="_GoBack"/>
      <w:bookmarkEnd w:id="20"/>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lastRenderedPageBreak/>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E00BA2"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.pdf o .jpg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cuál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 xml:space="preserve">El alumno dentro del sistema, puede subir sus reportes en formato .jpg o .pdf,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w:t>
            </w:r>
            <w:r w:rsidRPr="00FD2FBD">
              <w:rPr>
                <w:rFonts w:asciiTheme="majorHAnsi" w:hAnsiTheme="majorHAnsi"/>
                <w:sz w:val="24"/>
              </w:rPr>
              <w:lastRenderedPageBreak/>
              <w:t xml:space="preserve">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w:t>
      </w:r>
      <w:r w:rsidR="00695E0C">
        <w:rPr>
          <w:rFonts w:asciiTheme="majorHAnsi" w:eastAsiaTheme="minorEastAsia" w:hAnsiTheme="majorHAnsi" w:cs="Calibri"/>
          <w:bCs/>
          <w:sz w:val="24"/>
        </w:rPr>
        <w:lastRenderedPageBreak/>
        <w:t>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B3FA8" w14:textId="77777777" w:rsidR="001E2B61" w:rsidRDefault="001E2B61" w:rsidP="00CD6F9C">
      <w:r>
        <w:separator/>
      </w:r>
    </w:p>
  </w:endnote>
  <w:endnote w:type="continuationSeparator" w:id="0">
    <w:p w14:paraId="6C4276E4" w14:textId="77777777" w:rsidR="001E2B61" w:rsidRDefault="001E2B61"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B46B9" w14:textId="77777777" w:rsidR="001E2B61" w:rsidRDefault="001E2B61" w:rsidP="00CD6F9C">
      <w:r>
        <w:separator/>
      </w:r>
    </w:p>
  </w:footnote>
  <w:footnote w:type="continuationSeparator" w:id="0">
    <w:p w14:paraId="595AE75F" w14:textId="77777777" w:rsidR="001E2B61" w:rsidRDefault="001E2B61"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6B0573" w:rsidRDefault="001E2B61">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6B0573" w:rsidRDefault="006B0573">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7DEA"/>
    <w:rsid w:val="000B5E2C"/>
    <w:rsid w:val="001E2B61"/>
    <w:rsid w:val="00246B6D"/>
    <w:rsid w:val="00316345"/>
    <w:rsid w:val="003B4FFE"/>
    <w:rsid w:val="00411A4B"/>
    <w:rsid w:val="00433403"/>
    <w:rsid w:val="004E183B"/>
    <w:rsid w:val="00512016"/>
    <w:rsid w:val="00686B7B"/>
    <w:rsid w:val="00695E0C"/>
    <w:rsid w:val="006B0573"/>
    <w:rsid w:val="006B41FE"/>
    <w:rsid w:val="00771004"/>
    <w:rsid w:val="007A219C"/>
    <w:rsid w:val="007E0288"/>
    <w:rsid w:val="008A279C"/>
    <w:rsid w:val="00934ACB"/>
    <w:rsid w:val="00951DA0"/>
    <w:rsid w:val="009D5374"/>
    <w:rsid w:val="009F6682"/>
    <w:rsid w:val="00AB2AED"/>
    <w:rsid w:val="00B0144D"/>
    <w:rsid w:val="00B120BC"/>
    <w:rsid w:val="00BB6A2D"/>
    <w:rsid w:val="00BD06A3"/>
    <w:rsid w:val="00C44BCE"/>
    <w:rsid w:val="00CD6F9C"/>
    <w:rsid w:val="00D24A40"/>
    <w:rsid w:val="00D84303"/>
    <w:rsid w:val="00DB6F59"/>
    <w:rsid w:val="00E00BA2"/>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A96A06"/>
    <w:rsid w:val="00AD35AB"/>
    <w:rsid w:val="00B34158"/>
    <w:rsid w:val="00BA1B43"/>
    <w:rsid w:val="00D37B0D"/>
    <w:rsid w:val="00D7149A"/>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2671</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7</cp:revision>
  <cp:lastPrinted>2015-11-12T01:54:00Z</cp:lastPrinted>
  <dcterms:created xsi:type="dcterms:W3CDTF">2015-11-12T01:54:00Z</dcterms:created>
  <dcterms:modified xsi:type="dcterms:W3CDTF">2015-11-13T01:43:00Z</dcterms:modified>
</cp:coreProperties>
</file>