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840597">
      <w:pPr>
        <w:pStyle w:val="Titre1"/>
        <w:spacing w:before="0" w:after="0"/>
      </w:pPr>
      <w:r w:rsidRPr="009645D4">
        <w:t xml:space="preserve">Evaluation de </w:t>
      </w:r>
      <w:proofErr w:type="gramStart"/>
      <w:r w:rsidR="00E836FE">
        <w:t>Math :</w:t>
      </w:r>
      <w:proofErr w:type="gramEnd"/>
      <w:r w:rsidR="00E836FE">
        <w:t xml:space="preserve"> </w:t>
      </w:r>
      <w:proofErr w:type="spellStart"/>
      <w:r w:rsidR="00E836FE">
        <w:t>Pourcentage</w:t>
      </w:r>
      <w:proofErr w:type="spellEnd"/>
      <w:r w:rsidR="00E836FE">
        <w:t xml:space="preserve"> et coefficients </w:t>
      </w:r>
      <w:proofErr w:type="spellStart"/>
      <w:r w:rsidR="00E836FE">
        <w:t>multiplicateurs</w:t>
      </w:r>
      <w:proofErr w:type="spellEnd"/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 w:rsidP="00840597">
            <w:pPr>
              <w:spacing w:line="276" w:lineRule="auto"/>
            </w:pPr>
            <w:r>
              <w:t>Note</w:t>
            </w:r>
          </w:p>
        </w:tc>
        <w:tc>
          <w:tcPr>
            <w:tcW w:w="9072" w:type="dxa"/>
          </w:tcPr>
          <w:p w:rsidR="009645D4" w:rsidRDefault="009645D4" w:rsidP="00840597">
            <w:pPr>
              <w:spacing w:line="276" w:lineRule="auto"/>
            </w:pPr>
            <w:r>
              <w:t>Appréciation</w:t>
            </w:r>
          </w:p>
        </w:tc>
      </w:tr>
    </w:tbl>
    <w:p w:rsidR="00E836FE" w:rsidRPr="00BC4F40" w:rsidRDefault="00E836FE" w:rsidP="00840597">
      <w:pPr>
        <w:pStyle w:val="Titre2"/>
        <w:spacing w:before="0" w:after="0"/>
        <w:rPr>
          <w:sz w:val="28"/>
        </w:rPr>
      </w:pPr>
      <w:r>
        <w:rPr>
          <w:sz w:val="28"/>
        </w:rPr>
        <w:t>Exercice 1 : (1 point</w:t>
      </w:r>
      <w:r w:rsidRPr="00BC4F40">
        <w:rPr>
          <w:sz w:val="28"/>
        </w:rPr>
        <w:t>)</w:t>
      </w:r>
    </w:p>
    <w:p w:rsidR="00E836FE" w:rsidRPr="00840597" w:rsidRDefault="00E836FE" w:rsidP="00840597">
      <w:pPr>
        <w:spacing w:after="0"/>
        <w:rPr>
          <w:rFonts w:ascii="Arial" w:hAnsi="Arial" w:cs="Arial"/>
          <w:color w:val="FF0000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Calculer 21% de 250</w:t>
      </w:r>
      <w:r w:rsidR="00840597">
        <w:rPr>
          <w:rFonts w:ascii="Arial" w:hAnsi="Arial" w:cs="Arial"/>
          <w:sz w:val="24"/>
          <w:szCs w:val="20"/>
          <w:lang w:bidi="ar-SA"/>
        </w:rPr>
        <w:t xml:space="preserve"> </w:t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52.5</w:t>
      </w:r>
    </w:p>
    <w:p w:rsidR="00E836FE" w:rsidRPr="00840597" w:rsidRDefault="00E836FE" w:rsidP="00840597">
      <w:pPr>
        <w:spacing w:after="0"/>
        <w:rPr>
          <w:rFonts w:ascii="Arial" w:hAnsi="Arial" w:cs="Arial"/>
          <w:color w:val="FF0000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Calculer 19,6% de 15</w:t>
      </w:r>
      <w:r w:rsidRPr="00BC4F40">
        <w:rPr>
          <w:rFonts w:ascii="Arial" w:hAnsi="Arial" w:cs="Arial"/>
          <w:sz w:val="24"/>
          <w:szCs w:val="20"/>
          <w:lang w:bidi="ar-SA"/>
        </w:rPr>
        <w:t>00</w:t>
      </w:r>
      <w:r w:rsidR="00840597">
        <w:rPr>
          <w:rFonts w:ascii="Arial" w:hAnsi="Arial" w:cs="Arial"/>
          <w:sz w:val="24"/>
          <w:szCs w:val="20"/>
          <w:lang w:bidi="ar-SA"/>
        </w:rPr>
        <w:t xml:space="preserve"> </w:t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294</w:t>
      </w:r>
    </w:p>
    <w:p w:rsidR="00E836FE" w:rsidRPr="00BC4F40" w:rsidRDefault="00D600DF" w:rsidP="00840597">
      <w:pPr>
        <w:pStyle w:val="Titre2"/>
        <w:spacing w:before="0" w:after="0"/>
        <w:rPr>
          <w:sz w:val="28"/>
        </w:rPr>
      </w:pPr>
      <w:r>
        <w:rPr>
          <w:sz w:val="28"/>
        </w:rPr>
        <w:t>Exercice 2 : (4</w:t>
      </w:r>
      <w:r w:rsidR="00E836FE" w:rsidRPr="00BC4F40">
        <w:rPr>
          <w:sz w:val="28"/>
        </w:rPr>
        <w:t xml:space="preserve"> points)</w:t>
      </w:r>
    </w:p>
    <w:p w:rsidR="00E836FE" w:rsidRDefault="00E836FE" w:rsidP="00840597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coefficients multiplicateurs associés à :</w:t>
      </w:r>
    </w:p>
    <w:p w:rsidR="00E836FE" w:rsidRDefault="00E836FE" w:rsidP="00840597">
      <w:pPr>
        <w:tabs>
          <w:tab w:val="left" w:pos="4111"/>
        </w:tabs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1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5%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1.05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Pr="00BC4F40" w:rsidRDefault="00E836FE" w:rsidP="00840597">
      <w:pPr>
        <w:tabs>
          <w:tab w:val="left" w:pos="4111"/>
        </w:tabs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2 )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63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1.63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Default="00E836FE" w:rsidP="00840597">
      <w:pPr>
        <w:tabs>
          <w:tab w:val="left" w:pos="4111"/>
        </w:tabs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3 )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17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0.83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               </w:t>
      </w:r>
      <w:r>
        <w:rPr>
          <w:rFonts w:ascii="Arial" w:hAnsi="Arial" w:cs="Arial"/>
          <w:sz w:val="24"/>
          <w:szCs w:val="20"/>
          <w:lang w:bidi="ar-SA"/>
        </w:rPr>
        <w:t xml:space="preserve">    </w:t>
      </w:r>
    </w:p>
    <w:p w:rsidR="00E836FE" w:rsidRPr="00BC4F40" w:rsidRDefault="00E836FE" w:rsidP="00840597">
      <w:pPr>
        <w:tabs>
          <w:tab w:val="left" w:pos="4111"/>
        </w:tabs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4 )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2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0.98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Default="00E836FE" w:rsidP="00840597">
      <w:pPr>
        <w:tabs>
          <w:tab w:val="left" w:pos="4111"/>
        </w:tabs>
        <w:spacing w:after="0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5 )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0,6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1.006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   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       </w:t>
      </w:r>
      <w:r>
        <w:rPr>
          <w:rFonts w:ascii="Arial" w:hAnsi="Arial" w:cs="Arial"/>
          <w:sz w:val="24"/>
          <w:szCs w:val="20"/>
          <w:lang w:bidi="ar-SA"/>
        </w:rPr>
        <w:t xml:space="preserve">    </w:t>
      </w:r>
    </w:p>
    <w:p w:rsidR="00E836FE" w:rsidRPr="00E836FE" w:rsidRDefault="00E836FE" w:rsidP="00840597">
      <w:pPr>
        <w:tabs>
          <w:tab w:val="left" w:pos="4111"/>
        </w:tabs>
        <w:spacing w:after="0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6 )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0,7</w:t>
      </w:r>
      <w:r w:rsidRPr="00BC4F40">
        <w:rPr>
          <w:rFonts w:ascii="Arial" w:hAnsi="Arial" w:cs="Arial"/>
          <w:sz w:val="24"/>
          <w:szCs w:val="20"/>
          <w:lang w:bidi="ar-SA"/>
        </w:rPr>
        <w:t>5%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0.9925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    </w:t>
      </w:r>
    </w:p>
    <w:p w:rsidR="00E836FE" w:rsidRPr="00BC4F40" w:rsidRDefault="00E836FE" w:rsidP="00840597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variations en pourcentage associées aux coefficients multiplicateurs :</w:t>
      </w:r>
    </w:p>
    <w:p w:rsidR="00D600DF" w:rsidRDefault="00D600DF" w:rsidP="00840597">
      <w:pPr>
        <w:tabs>
          <w:tab w:val="left" w:pos="4111"/>
        </w:tabs>
        <w:spacing w:after="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 xml:space="preserve">a) </w:t>
      </w:r>
      <w:r w:rsidR="00E836FE">
        <w:rPr>
          <w:rFonts w:ascii="Arial" w:hAnsi="Arial" w:cs="Arial"/>
          <w:sz w:val="24"/>
          <w:szCs w:val="20"/>
          <w:lang w:bidi="ar-SA"/>
        </w:rPr>
        <w:t xml:space="preserve">1,15  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+ 15%</w:t>
      </w:r>
      <w:r>
        <w:rPr>
          <w:rFonts w:ascii="Arial" w:hAnsi="Arial" w:cs="Arial"/>
          <w:sz w:val="24"/>
          <w:szCs w:val="20"/>
          <w:lang w:bidi="ar-SA"/>
        </w:rPr>
        <w:t>…………………………………………</w:t>
      </w:r>
    </w:p>
    <w:p w:rsidR="00E836FE" w:rsidRPr="00BC4F40" w:rsidRDefault="00D600DF" w:rsidP="00840597">
      <w:pPr>
        <w:tabs>
          <w:tab w:val="left" w:pos="4111"/>
        </w:tabs>
        <w:spacing w:after="0"/>
        <w:rPr>
          <w:sz w:val="28"/>
        </w:rPr>
      </w:pPr>
      <w:r>
        <w:rPr>
          <w:rFonts w:ascii="Arial" w:hAnsi="Arial" w:cs="Arial"/>
          <w:sz w:val="24"/>
          <w:szCs w:val="20"/>
          <w:lang w:bidi="ar-SA"/>
        </w:rPr>
        <w:t xml:space="preserve">b) </w:t>
      </w:r>
      <w:r w:rsidR="00E836FE" w:rsidRPr="00BC4F40">
        <w:rPr>
          <w:rFonts w:ascii="Arial" w:hAnsi="Arial" w:cs="Arial"/>
          <w:sz w:val="24"/>
          <w:szCs w:val="20"/>
          <w:lang w:bidi="ar-SA"/>
        </w:rPr>
        <w:t xml:space="preserve">0,75 </w:t>
      </w:r>
      <w:r>
        <w:rPr>
          <w:rFonts w:ascii="Arial" w:hAnsi="Arial" w:cs="Arial"/>
          <w:sz w:val="24"/>
          <w:szCs w:val="20"/>
          <w:lang w:bidi="ar-SA"/>
        </w:rPr>
        <w:tab/>
      </w:r>
      <w:r w:rsidR="00840597">
        <w:rPr>
          <w:rFonts w:ascii="Arial" w:hAnsi="Arial" w:cs="Arial"/>
          <w:color w:val="FF0000"/>
          <w:sz w:val="24"/>
          <w:szCs w:val="20"/>
          <w:lang w:bidi="ar-SA"/>
        </w:rPr>
        <w:t>- 25%</w:t>
      </w:r>
      <w:r>
        <w:rPr>
          <w:rFonts w:ascii="Arial" w:hAnsi="Arial" w:cs="Arial"/>
          <w:sz w:val="24"/>
          <w:szCs w:val="20"/>
          <w:lang w:bidi="ar-SA"/>
        </w:rPr>
        <w:t>……………………………………</w:t>
      </w:r>
    </w:p>
    <w:p w:rsidR="00E836FE" w:rsidRPr="00BC4F40" w:rsidRDefault="00E836FE" w:rsidP="00840597">
      <w:pPr>
        <w:pStyle w:val="Titre2"/>
        <w:spacing w:before="0" w:after="0"/>
        <w:rPr>
          <w:sz w:val="28"/>
        </w:rPr>
      </w:pPr>
      <w:r>
        <w:rPr>
          <w:sz w:val="28"/>
        </w:rPr>
        <w:t>E</w:t>
      </w:r>
      <w:r w:rsidR="00D600DF">
        <w:rPr>
          <w:sz w:val="28"/>
        </w:rPr>
        <w:t>xercice 3</w:t>
      </w:r>
      <w:r>
        <w:rPr>
          <w:sz w:val="28"/>
        </w:rPr>
        <w:t> : (2</w:t>
      </w:r>
      <w:r w:rsidRPr="00BC4F40">
        <w:rPr>
          <w:sz w:val="28"/>
        </w:rPr>
        <w:t xml:space="preserve"> points)</w:t>
      </w:r>
    </w:p>
    <w:p w:rsidR="00E836FE" w:rsidRDefault="00E836FE" w:rsidP="00840597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 xml:space="preserve">Promotion sur des baskets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: </w:t>
      </w:r>
      <w:r w:rsidRPr="00BC4F40">
        <w:rPr>
          <w:rFonts w:ascii="Symbol" w:hAnsi="Symbol" w:cs="Symbol"/>
          <w:sz w:val="24"/>
          <w:szCs w:val="20"/>
          <w:lang w:bidi="ar-SA"/>
        </w:rPr>
        <w:t></w:t>
      </w:r>
      <w:r w:rsidRPr="00BC4F40">
        <w:rPr>
          <w:rFonts w:ascii="Symbol" w:hAnsi="Symbol" w:cs="Symbol"/>
          <w:sz w:val="24"/>
          <w:szCs w:val="20"/>
          <w:lang w:bidi="ar-SA"/>
        </w:rPr>
        <w:t></w:t>
      </w:r>
      <w:r>
        <w:rPr>
          <w:rFonts w:ascii="Arial" w:hAnsi="Arial" w:cs="Arial"/>
          <w:sz w:val="24"/>
          <w:szCs w:val="20"/>
          <w:lang w:bidi="ar-SA"/>
        </w:rPr>
        <w:t>3</w:t>
      </w:r>
      <w:r w:rsidRPr="00BC4F40">
        <w:rPr>
          <w:rFonts w:ascii="Arial" w:hAnsi="Arial" w:cs="Arial"/>
          <w:sz w:val="24"/>
          <w:szCs w:val="20"/>
          <w:lang w:bidi="ar-SA"/>
        </w:rPr>
        <w:t>0% sur le prix marqué.</w:t>
      </w:r>
      <w:r w:rsidR="00D600DF">
        <w:rPr>
          <w:rFonts w:ascii="Arial" w:hAnsi="Arial" w:cs="Arial"/>
          <w:sz w:val="24"/>
          <w:szCs w:val="20"/>
          <w:lang w:bidi="ar-SA"/>
        </w:rPr>
        <w:t xml:space="preserve"> </w:t>
      </w:r>
      <w:r w:rsidRPr="00BC4F40">
        <w:rPr>
          <w:rFonts w:ascii="Arial" w:hAnsi="Arial" w:cs="Arial"/>
          <w:sz w:val="24"/>
          <w:szCs w:val="20"/>
          <w:lang w:bidi="ar-SA"/>
        </w:rPr>
        <w:t>La boîte</w:t>
      </w:r>
      <w:r>
        <w:rPr>
          <w:rFonts w:ascii="Arial" w:hAnsi="Arial" w:cs="Arial"/>
          <w:sz w:val="24"/>
          <w:szCs w:val="20"/>
          <w:lang w:bidi="ar-SA"/>
        </w:rPr>
        <w:t xml:space="preserve"> de chaussure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est marquée </w:t>
      </w:r>
      <w:r>
        <w:rPr>
          <w:rFonts w:ascii="Arial" w:hAnsi="Arial" w:cs="Arial"/>
          <w:sz w:val="24"/>
          <w:szCs w:val="20"/>
          <w:lang w:bidi="ar-SA"/>
        </w:rPr>
        <w:t>à 59</w:t>
      </w:r>
      <w:r w:rsidRPr="00BC4F40">
        <w:rPr>
          <w:rFonts w:ascii="Arial" w:hAnsi="Arial" w:cs="Arial"/>
          <w:sz w:val="24"/>
          <w:szCs w:val="20"/>
          <w:lang w:bidi="ar-SA"/>
        </w:rPr>
        <w:t>,</w:t>
      </w:r>
      <w:r>
        <w:rPr>
          <w:rFonts w:ascii="Arial" w:hAnsi="Arial" w:cs="Arial"/>
          <w:sz w:val="24"/>
          <w:szCs w:val="20"/>
          <w:lang w:bidi="ar-SA"/>
        </w:rPr>
        <w:t>99</w:t>
      </w:r>
      <w:r w:rsidRPr="00BC4F40">
        <w:rPr>
          <w:rFonts w:ascii="B" w:hAnsi="B" w:cs="B"/>
          <w:sz w:val="20"/>
          <w:szCs w:val="2"/>
          <w:lang w:bidi="ar-SA"/>
        </w:rPr>
        <w:t xml:space="preserve"> €.</w:t>
      </w:r>
      <w:r w:rsidR="00D600DF">
        <w:rPr>
          <w:rFonts w:ascii="Arial" w:hAnsi="Arial" w:cs="Arial"/>
          <w:sz w:val="24"/>
          <w:szCs w:val="20"/>
          <w:lang w:bidi="ar-SA"/>
        </w:rPr>
        <w:t xml:space="preserve"> </w:t>
      </w:r>
      <w:r w:rsidRPr="00BC4F40">
        <w:rPr>
          <w:rFonts w:ascii="Arial" w:hAnsi="Arial" w:cs="Arial"/>
          <w:sz w:val="24"/>
          <w:szCs w:val="2"/>
          <w:lang w:bidi="ar-SA"/>
        </w:rPr>
        <w:t>Quel prix vais-je payer ?</w:t>
      </w:r>
      <w:r w:rsidR="00840597">
        <w:rPr>
          <w:rFonts w:ascii="Arial" w:hAnsi="Arial" w:cs="Arial"/>
          <w:sz w:val="24"/>
          <w:szCs w:val="2"/>
          <w:lang w:bidi="ar-SA"/>
        </w:rPr>
        <w:t xml:space="preserve"> </w:t>
      </w:r>
      <w:r w:rsidR="00840597" w:rsidRPr="00840597">
        <w:rPr>
          <w:rFonts w:ascii="Arial" w:hAnsi="Arial" w:cs="Arial"/>
          <w:color w:val="FF0000"/>
          <w:sz w:val="24"/>
          <w:szCs w:val="2"/>
          <w:lang w:bidi="ar-SA"/>
        </w:rPr>
        <w:t>41.993€</w:t>
      </w:r>
    </w:p>
    <w:p w:rsidR="00E836FE" w:rsidRPr="00BC4F40" w:rsidRDefault="00E836FE" w:rsidP="00840597">
      <w:pPr>
        <w:pStyle w:val="Titre2"/>
        <w:spacing w:before="0" w:after="0"/>
        <w:rPr>
          <w:sz w:val="28"/>
        </w:rPr>
      </w:pPr>
      <w:r>
        <w:rPr>
          <w:sz w:val="28"/>
        </w:rPr>
        <w:t>Exercice 5 : (</w:t>
      </w:r>
      <w:r w:rsidR="00D600DF">
        <w:rPr>
          <w:sz w:val="28"/>
        </w:rPr>
        <w:t>3</w:t>
      </w:r>
      <w:r w:rsidRPr="00BC4F40">
        <w:rPr>
          <w:sz w:val="28"/>
        </w:rPr>
        <w:t xml:space="preserve"> points)</w:t>
      </w:r>
    </w:p>
    <w:p w:rsidR="00D600DF" w:rsidRDefault="007F0A8A" w:rsidP="00840597">
      <w:pPr>
        <w:spacing w:after="0"/>
      </w:pPr>
      <w:r>
        <w:t>Compléter le tableau :</w:t>
      </w:r>
    </w:p>
    <w:tbl>
      <w:tblPr>
        <w:tblStyle w:val="Grilledutableau"/>
        <w:tblW w:w="11164" w:type="dxa"/>
        <w:tblLook w:val="04A0"/>
      </w:tblPr>
      <w:tblGrid>
        <w:gridCol w:w="3227"/>
        <w:gridCol w:w="6095"/>
        <w:gridCol w:w="1842"/>
      </w:tblGrid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</w:p>
        </w:tc>
        <w:tc>
          <w:tcPr>
            <w:tcW w:w="6095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t>Les termes forment une suite :</w:t>
            </w:r>
          </w:p>
        </w:tc>
        <w:tc>
          <w:tcPr>
            <w:tcW w:w="1842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t>Si possible donner la raison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Pr="00D600DF" w:rsidRDefault="00440B7C" w:rsidP="008405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600DF">
              <w:rPr>
                <w:rFonts w:ascii="Times New Roman" w:hAnsi="Times New Roman" w:cs="Times New Roman"/>
                <w:sz w:val="28"/>
              </w:rPr>
              <w:t>0,5 ; 2 ; 8 ; 16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>
              <w:pict>
                <v:rect id="_x0000_s1043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42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 w:rsidRPr="00373466">
              <w:rPr>
                <w:color w:val="FF0000"/>
              </w:rPr>
            </w:r>
            <w:r w:rsidRPr="00373466">
              <w:rPr>
                <w:color w:val="FF0000"/>
              </w:rPr>
              <w:pict>
                <v:rect id="_x0000_s1041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 w:rsidRPr="00373466">
              <w:rPr>
                <w:color w:val="FF0000"/>
              </w:rPr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t>…………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16 ; 13 ; 10</w:t>
            </w:r>
            <w:r w:rsidRPr="00D600DF">
              <w:rPr>
                <w:rFonts w:ascii="Times New Roman" w:hAnsi="Times New Roman" w:cs="Times New Roman"/>
                <w:sz w:val="28"/>
              </w:rPr>
              <w:t xml:space="preserve"> ; </w:t>
            </w:r>
            <w:r>
              <w:rPr>
                <w:rFonts w:ascii="Times New Roman" w:hAnsi="Times New Roman" w:cs="Times New Roman"/>
                <w:sz w:val="28"/>
              </w:rPr>
              <w:t>7 ; 4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>
              <w:pict>
                <v:rect id="_x0000_s1040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</w:t>
            </w:r>
            <w:r w:rsidR="00440B7C" w:rsidRPr="00373466">
              <w:rPr>
                <w:color w:val="FF0000"/>
              </w:rPr>
              <w:t xml:space="preserve"> arithmétique</w:t>
            </w:r>
            <w:r w:rsidR="00440B7C">
              <w:t xml:space="preserve">   </w:t>
            </w:r>
            <w:r>
              <w:pict>
                <v:rect id="_x0000_s1039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38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373466" w:rsidP="00840597">
            <w:pPr>
              <w:spacing w:line="276" w:lineRule="auto"/>
              <w:jc w:val="center"/>
            </w:pPr>
            <w:r>
              <w:rPr>
                <w:color w:val="FF0000"/>
              </w:rPr>
              <w:t>-3</w:t>
            </w:r>
            <w:r w:rsidR="00440B7C">
              <w:t>…………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3 ; 9 ; 27</w:t>
            </w:r>
            <w:r w:rsidRPr="00D600DF">
              <w:rPr>
                <w:rFonts w:ascii="Times New Roman" w:hAnsi="Times New Roman" w:cs="Times New Roman"/>
                <w:sz w:val="28"/>
              </w:rPr>
              <w:t xml:space="preserve"> ; </w:t>
            </w:r>
            <w:r>
              <w:rPr>
                <w:rFonts w:ascii="Times New Roman" w:hAnsi="Times New Roman" w:cs="Times New Roman"/>
                <w:sz w:val="28"/>
              </w:rPr>
              <w:t>81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>
              <w:pict>
                <v:rect id="_x0000_s1037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6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</w:t>
            </w:r>
            <w:r w:rsidR="00440B7C" w:rsidRPr="00373466">
              <w:rPr>
                <w:color w:val="FF0000"/>
              </w:rPr>
              <w:t>géométrique</w:t>
            </w:r>
            <w:r w:rsidR="00440B7C">
              <w:t xml:space="preserve">  </w:t>
            </w:r>
            <w:r>
              <w:pict>
                <v:rect id="_x0000_s1035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373466" w:rsidP="00840597">
            <w:pPr>
              <w:spacing w:line="276" w:lineRule="auto"/>
              <w:jc w:val="center"/>
            </w:pPr>
            <w:r>
              <w:rPr>
                <w:color w:val="FF0000"/>
              </w:rPr>
              <w:t>3</w:t>
            </w:r>
            <w:r w:rsidR="00440B7C">
              <w:t>…………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0.25 ; 1 ; 1.75 ; 2,5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 w:rsidRPr="00373466">
              <w:rPr>
                <w:color w:val="FF0000"/>
              </w:rPr>
            </w:r>
            <w:r w:rsidRPr="00373466">
              <w:rPr>
                <w:color w:val="FF0000"/>
              </w:rPr>
              <w:pict>
                <v:rect id="_x0000_s1034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 w:rsidRPr="00373466">
              <w:rPr>
                <w:color w:val="FF0000"/>
              </w:rPr>
              <w:t xml:space="preserve">   arithmétique</w:t>
            </w:r>
            <w:r w:rsidR="00440B7C">
              <w:t xml:space="preserve">   </w:t>
            </w:r>
            <w:r>
              <w:pict>
                <v:rect id="_x0000_s1033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32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373466" w:rsidP="00840597">
            <w:pPr>
              <w:spacing w:line="276" w:lineRule="auto"/>
              <w:jc w:val="center"/>
            </w:pPr>
            <w:r w:rsidRPr="00373466">
              <w:rPr>
                <w:color w:val="FF0000"/>
              </w:rPr>
              <w:t>0.75</w:t>
            </w:r>
            <w:r w:rsidR="00440B7C">
              <w:t>…………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0,1 ; 1 ; 10 ; 100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>
              <w:pict>
                <v:rect id="_x0000_s1031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0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</w:t>
            </w:r>
            <w:r w:rsidR="00440B7C" w:rsidRPr="00373466">
              <w:rPr>
                <w:color w:val="FF0000"/>
              </w:rPr>
              <w:t>géométrique</w:t>
            </w:r>
            <w:r w:rsidR="00440B7C">
              <w:t xml:space="preserve">  </w:t>
            </w:r>
            <w:r>
              <w:pict>
                <v:rect id="_x0000_s1029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373466" w:rsidP="00840597">
            <w:pPr>
              <w:spacing w:line="276" w:lineRule="auto"/>
              <w:jc w:val="center"/>
            </w:pPr>
            <w:r>
              <w:rPr>
                <w:color w:val="FF0000"/>
              </w:rPr>
              <w:t>10</w:t>
            </w:r>
            <w:r w:rsidR="00440B7C">
              <w:t>…………</w:t>
            </w:r>
          </w:p>
        </w:tc>
      </w:tr>
      <w:tr w:rsidR="00440B7C" w:rsidTr="00840597">
        <w:trPr>
          <w:trHeight w:val="737"/>
        </w:trPr>
        <w:tc>
          <w:tcPr>
            <w:tcW w:w="3227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10 ; 0 ; -10 ; -100</w:t>
            </w:r>
          </w:p>
        </w:tc>
        <w:tc>
          <w:tcPr>
            <w:tcW w:w="6095" w:type="dxa"/>
            <w:vAlign w:val="center"/>
          </w:tcPr>
          <w:p w:rsidR="00440B7C" w:rsidRDefault="00CD2FEB" w:rsidP="00840597">
            <w:pPr>
              <w:spacing w:line="276" w:lineRule="auto"/>
              <w:jc w:val="center"/>
            </w:pPr>
            <w:r>
              <w:pict>
                <v:rect id="_x0000_s1028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27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 w:rsidRPr="00373466">
              <w:rPr>
                <w:color w:val="FF0000"/>
              </w:rPr>
            </w:r>
            <w:r w:rsidRPr="00373466">
              <w:rPr>
                <w:color w:val="FF0000"/>
              </w:rPr>
              <w:pict>
                <v:rect id="_x0000_s1026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 w:rsidRPr="00373466">
              <w:rPr>
                <w:color w:val="FF0000"/>
              </w:rPr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840597">
            <w:pPr>
              <w:spacing w:line="276" w:lineRule="auto"/>
              <w:jc w:val="center"/>
            </w:pPr>
            <w:r>
              <w:t>…………</w:t>
            </w:r>
          </w:p>
        </w:tc>
      </w:tr>
    </w:tbl>
    <w:p w:rsidR="00D600DF" w:rsidRDefault="00D600DF" w:rsidP="00840597">
      <w:pPr>
        <w:spacing w:after="0"/>
      </w:pPr>
    </w:p>
    <w:sectPr w:rsidR="00D600DF" w:rsidSect="007F0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485" w:rsidRDefault="008C6485" w:rsidP="00AD3492">
      <w:pPr>
        <w:spacing w:after="0" w:line="240" w:lineRule="auto"/>
      </w:pPr>
      <w:r>
        <w:separator/>
      </w:r>
    </w:p>
  </w:endnote>
  <w:endnote w:type="continuationSeparator" w:id="0">
    <w:p w:rsidR="008C6485" w:rsidRDefault="008C6485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D600DF" w:rsidRDefault="00CD2FEB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D600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059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D600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D600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059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00DF" w:rsidRDefault="00D600D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485" w:rsidRDefault="008C6485" w:rsidP="00AD3492">
      <w:pPr>
        <w:spacing w:after="0" w:line="240" w:lineRule="auto"/>
      </w:pPr>
      <w:r>
        <w:separator/>
      </w:r>
    </w:p>
  </w:footnote>
  <w:footnote w:type="continuationSeparator" w:id="0">
    <w:p w:rsidR="008C6485" w:rsidRDefault="008C6485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0DF" w:rsidRPr="007F0A8A" w:rsidRDefault="00D600DF" w:rsidP="007F0A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Pr="009645D4" w:rsidRDefault="007F0A8A" w:rsidP="007F0A8A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7F0A8A" w:rsidRPr="009645D4" w:rsidRDefault="007F0A8A" w:rsidP="007F0A8A">
    <w:pPr>
      <w:pStyle w:val="En-tte"/>
      <w:tabs>
        <w:tab w:val="clear" w:pos="9072"/>
        <w:tab w:val="right" w:pos="7938"/>
      </w:tabs>
    </w:pPr>
  </w:p>
  <w:p w:rsidR="007F0A8A" w:rsidRPr="009645D4" w:rsidRDefault="007F0A8A" w:rsidP="007F0A8A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  <w:p w:rsidR="007F0A8A" w:rsidRDefault="007F0A8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0DF"/>
    <w:rsid w:val="000C6620"/>
    <w:rsid w:val="0019434E"/>
    <w:rsid w:val="001E6810"/>
    <w:rsid w:val="00227690"/>
    <w:rsid w:val="00236FDF"/>
    <w:rsid w:val="002E54F2"/>
    <w:rsid w:val="00331FBA"/>
    <w:rsid w:val="00373466"/>
    <w:rsid w:val="00426E6A"/>
    <w:rsid w:val="00440B7C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7F0A8A"/>
    <w:rsid w:val="00840597"/>
    <w:rsid w:val="008608C8"/>
    <w:rsid w:val="008C6485"/>
    <w:rsid w:val="008F7E63"/>
    <w:rsid w:val="009645D4"/>
    <w:rsid w:val="00982EB7"/>
    <w:rsid w:val="009920FA"/>
    <w:rsid w:val="00A173FF"/>
    <w:rsid w:val="00A272D7"/>
    <w:rsid w:val="00A45DEC"/>
    <w:rsid w:val="00AD3492"/>
    <w:rsid w:val="00B419F9"/>
    <w:rsid w:val="00B837A7"/>
    <w:rsid w:val="00C0292D"/>
    <w:rsid w:val="00C1465E"/>
    <w:rsid w:val="00C302DA"/>
    <w:rsid w:val="00C84D0C"/>
    <w:rsid w:val="00CD2FEB"/>
    <w:rsid w:val="00CF71DB"/>
    <w:rsid w:val="00D17018"/>
    <w:rsid w:val="00D600DF"/>
    <w:rsid w:val="00DB2497"/>
    <w:rsid w:val="00E836FE"/>
    <w:rsid w:val="00EE07E2"/>
    <w:rsid w:val="00F34027"/>
    <w:rsid w:val="00F67C25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7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4</cp:revision>
  <dcterms:created xsi:type="dcterms:W3CDTF">2016-09-18T16:29:00Z</dcterms:created>
  <dcterms:modified xsi:type="dcterms:W3CDTF">2016-09-18T16:37:00Z</dcterms:modified>
</cp:coreProperties>
</file>