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pPr>
      <w:r w:rsidDel="00000000" w:rsidR="00000000" w:rsidRPr="00000000">
        <w:rPr>
          <w:rtl w:val="0"/>
        </w:rPr>
        <w:t xml:space="preserve">Arthur Fourfooz</w:t>
      </w:r>
    </w:p>
    <w:p w:rsidR="00000000" w:rsidDel="00000000" w:rsidP="00000000" w:rsidRDefault="00000000" w:rsidRPr="00000000" w14:paraId="00000002">
      <w:pPr>
        <w:ind w:left="-708.6614173228347" w:firstLine="0"/>
        <w:rPr/>
      </w:pPr>
      <w:r w:rsidDel="00000000" w:rsidR="00000000" w:rsidRPr="00000000">
        <w:rPr>
          <w:rtl w:val="0"/>
        </w:rPr>
        <w:t xml:space="preserve">Léo Essomba</w:t>
      </w:r>
    </w:p>
    <w:p w:rsidR="00000000" w:rsidDel="00000000" w:rsidP="00000000" w:rsidRDefault="00000000" w:rsidRPr="00000000" w14:paraId="00000003">
      <w:pPr>
        <w:ind w:left="-708.6614173228347" w:firstLine="0"/>
        <w:rPr>
          <w:sz w:val="36"/>
          <w:szCs w:val="36"/>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36"/>
          <w:szCs w:val="36"/>
        </w:rPr>
      </w:pPr>
      <w:r w:rsidDel="00000000" w:rsidR="00000000" w:rsidRPr="00000000">
        <w:rPr>
          <w:sz w:val="36"/>
          <w:szCs w:val="36"/>
          <w:rtl w:val="0"/>
        </w:rPr>
        <w:t xml:space="preserve">OBJECTIF</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Objectif:</w:t>
      </w:r>
    </w:p>
    <w:p w:rsidR="00000000" w:rsidDel="00000000" w:rsidP="00000000" w:rsidRDefault="00000000" w:rsidRPr="00000000" w14:paraId="00000007">
      <w:pPr>
        <w:rPr/>
      </w:pPr>
      <w:r w:rsidDel="00000000" w:rsidR="00000000" w:rsidRPr="00000000">
        <w:rPr>
          <w:rtl w:val="0"/>
        </w:rPr>
        <w:t xml:space="preserve">QQOQCP</w:t>
      </w:r>
    </w:p>
    <w:p w:rsidR="00000000" w:rsidDel="00000000" w:rsidP="00000000" w:rsidRDefault="00000000" w:rsidRPr="00000000" w14:paraId="00000008">
      <w:pPr>
        <w:rPr/>
      </w:pPr>
      <w:r w:rsidDel="00000000" w:rsidR="00000000" w:rsidRPr="00000000">
        <w:rPr>
          <w:rtl w:val="0"/>
        </w:rPr>
        <w:tab/>
        <w:t xml:space="preserve">Le site Web doit permettre de communiquer à la fois sur:</w:t>
      </w:r>
    </w:p>
    <w:p w:rsidR="00000000" w:rsidDel="00000000" w:rsidP="00000000" w:rsidRDefault="00000000" w:rsidRPr="00000000" w14:paraId="00000009">
      <w:pPr>
        <w:rPr/>
      </w:pPr>
      <w:r w:rsidDel="00000000" w:rsidR="00000000" w:rsidRPr="00000000">
        <w:rPr>
          <w:rtl w:val="0"/>
        </w:rPr>
        <w:t xml:space="preserve">- la sécurité des unités de production d’AKE Michi, </w:t>
      </w:r>
    </w:p>
    <w:p w:rsidR="00000000" w:rsidDel="00000000" w:rsidP="00000000" w:rsidRDefault="00000000" w:rsidRPr="00000000" w14:paraId="0000000A">
      <w:pPr>
        <w:rPr/>
      </w:pPr>
      <w:r w:rsidDel="00000000" w:rsidR="00000000" w:rsidRPr="00000000">
        <w:rPr>
          <w:rtl w:val="0"/>
        </w:rPr>
        <w:t xml:space="preserve">-le respect de l’environnement,</w:t>
      </w:r>
    </w:p>
    <w:p w:rsidR="00000000" w:rsidDel="00000000" w:rsidP="00000000" w:rsidRDefault="00000000" w:rsidRPr="00000000" w14:paraId="0000000B">
      <w:pPr>
        <w:rPr/>
      </w:pPr>
      <w:r w:rsidDel="00000000" w:rsidR="00000000" w:rsidRPr="00000000">
        <w:rPr>
          <w:rtl w:val="0"/>
        </w:rPr>
        <w:t xml:space="preserve">-le management de la qualité.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L’expression fonctionnelle du besoin permet : </w:t>
      </w:r>
    </w:p>
    <w:p w:rsidR="00000000" w:rsidDel="00000000" w:rsidP="00000000" w:rsidRDefault="00000000" w:rsidRPr="00000000" w14:paraId="0000000E">
      <w:pPr>
        <w:rPr/>
      </w:pPr>
      <w:r w:rsidDel="00000000" w:rsidR="00000000" w:rsidRPr="00000000">
        <w:rPr>
          <w:rtl w:val="0"/>
        </w:rPr>
        <w:t xml:space="preserve">- de délimiter le contour fonctionnel du site et d’en préciser les contraintes,</w:t>
      </w:r>
    </w:p>
    <w:p w:rsidR="00000000" w:rsidDel="00000000" w:rsidP="00000000" w:rsidRDefault="00000000" w:rsidRPr="00000000" w14:paraId="0000000F">
      <w:pPr>
        <w:rPr/>
      </w:pPr>
      <w:r w:rsidDel="00000000" w:rsidR="00000000" w:rsidRPr="00000000">
        <w:rPr>
          <w:rtl w:val="0"/>
        </w:rPr>
        <w:t xml:space="preserve"> - de recenser les informations à intégrer,</w:t>
      </w:r>
    </w:p>
    <w:p w:rsidR="00000000" w:rsidDel="00000000" w:rsidP="00000000" w:rsidRDefault="00000000" w:rsidRPr="00000000" w14:paraId="00000010">
      <w:pPr>
        <w:rPr/>
      </w:pPr>
      <w:r w:rsidDel="00000000" w:rsidR="00000000" w:rsidRPr="00000000">
        <w:rPr>
          <w:rtl w:val="0"/>
        </w:rPr>
        <w:t xml:space="preserve"> - de rédiger le cahier des charges fonctionnel.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Le présent cahier des charges, fruit de l’ensemble de ces travaux, contient l’expression fonctionnelle du besoin du site Web des usines d’AKE Michi du Bec en Zing. Il est destiné à servir de référence à AKE Michi pour la conception et la réalisation de son site Web.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    2. RISQUE, CONTRAINTES, EXIGENCES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Les Risques:</w:t>
      </w:r>
    </w:p>
    <w:p w:rsidR="00000000" w:rsidDel="00000000" w:rsidP="00000000" w:rsidRDefault="00000000" w:rsidRPr="00000000" w14:paraId="00000017">
      <w:pPr>
        <w:rPr/>
      </w:pPr>
      <w:r w:rsidDel="00000000" w:rsidR="00000000" w:rsidRPr="00000000">
        <w:rPr>
          <w:rtl w:val="0"/>
        </w:rPr>
        <w:tab/>
        <w:t xml:space="preserve">La communication et les textes présentés sur le site Web AKE Michi doit à la fois être transparente mais également claire et concise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La communication doit prendre en compte la disparité de la cible et des visiteurs potentiels à savoir :</w:t>
      </w:r>
    </w:p>
    <w:p w:rsidR="00000000" w:rsidDel="00000000" w:rsidP="00000000" w:rsidRDefault="00000000" w:rsidRPr="00000000" w14:paraId="0000001A">
      <w:pPr>
        <w:rPr/>
      </w:pPr>
      <w:r w:rsidDel="00000000" w:rsidR="00000000" w:rsidRPr="00000000">
        <w:rPr>
          <w:rtl w:val="0"/>
        </w:rPr>
        <w:t xml:space="preserve">- population et riverains du Bec en Zing, </w:t>
      </w:r>
    </w:p>
    <w:p w:rsidR="00000000" w:rsidDel="00000000" w:rsidP="00000000" w:rsidRDefault="00000000" w:rsidRPr="00000000" w14:paraId="0000001B">
      <w:pPr>
        <w:rPr/>
      </w:pPr>
      <w:r w:rsidDel="00000000" w:rsidR="00000000" w:rsidRPr="00000000">
        <w:rPr>
          <w:rtl w:val="0"/>
        </w:rPr>
        <w:t xml:space="preserve">- associations, </w:t>
      </w:r>
    </w:p>
    <w:p w:rsidR="00000000" w:rsidDel="00000000" w:rsidP="00000000" w:rsidRDefault="00000000" w:rsidRPr="00000000" w14:paraId="0000001C">
      <w:pPr>
        <w:rPr/>
      </w:pPr>
      <w:r w:rsidDel="00000000" w:rsidR="00000000" w:rsidRPr="00000000">
        <w:rPr>
          <w:rtl w:val="0"/>
        </w:rPr>
        <w:t xml:space="preserve">- industriels du Bec en Zing,</w:t>
      </w:r>
    </w:p>
    <w:p w:rsidR="00000000" w:rsidDel="00000000" w:rsidP="00000000" w:rsidRDefault="00000000" w:rsidRPr="00000000" w14:paraId="0000001D">
      <w:pPr>
        <w:rPr/>
      </w:pPr>
      <w:r w:rsidDel="00000000" w:rsidR="00000000" w:rsidRPr="00000000">
        <w:rPr>
          <w:rtl w:val="0"/>
        </w:rPr>
        <w:t xml:space="preserve">- collectivités locales,</w:t>
      </w:r>
    </w:p>
    <w:p w:rsidR="00000000" w:rsidDel="00000000" w:rsidP="00000000" w:rsidRDefault="00000000" w:rsidRPr="00000000" w14:paraId="0000001E">
      <w:pPr>
        <w:rPr/>
      </w:pPr>
      <w:r w:rsidDel="00000000" w:rsidR="00000000" w:rsidRPr="00000000">
        <w:rPr>
          <w:rtl w:val="0"/>
        </w:rPr>
        <w:t xml:space="preserve">- collectivités territoriales.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La prise en compte de cette disparité et des risques inhérents à ce type de communication conduit à envisager dans un premier temps la réalisation d’un site Web restreint composé de documents et de textes soigneusement sélectionnés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Les Contraintes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Le Délai :</w:t>
      </w:r>
    </w:p>
    <w:p w:rsidR="00000000" w:rsidDel="00000000" w:rsidP="00000000" w:rsidRDefault="00000000" w:rsidRPr="00000000" w14:paraId="00000025">
      <w:pPr>
        <w:ind w:firstLine="720"/>
        <w:rPr/>
      </w:pPr>
      <w:r w:rsidDel="00000000" w:rsidR="00000000" w:rsidRPr="00000000">
        <w:rPr>
          <w:rtl w:val="0"/>
        </w:rPr>
        <w:t xml:space="preserve">Une réunion entre AKE Michi et la Préfecture est prévue en début décembre 2001. En prévision de cette échéance, une première version du site Web AKE Michi doit être disponible. En conséquence, le délai de réalisation imparti à la réalisation du lot 1 du site Web AKE Michi est très réduit. Cet impératif de délai renforce la stratégie de réalisation du site Web en plusieurs étapes et lots décrit au paragraphe précédent. </w:t>
      </w:r>
    </w:p>
    <w:p w:rsidR="00000000" w:rsidDel="00000000" w:rsidP="00000000" w:rsidRDefault="00000000" w:rsidRPr="00000000" w14:paraId="00000026">
      <w:pPr>
        <w:ind w:firstLine="720"/>
        <w:rPr/>
      </w:pPr>
      <w:r w:rsidDel="00000000" w:rsidR="00000000" w:rsidRPr="00000000">
        <w:rPr>
          <w:rFonts w:ascii="Arial Unicode MS" w:cs="Arial Unicode MS" w:eastAsia="Arial Unicode MS" w:hAnsi="Arial Unicode MS"/>
          <w:rtl w:val="0"/>
        </w:rPr>
        <w:t xml:space="preserve">1er juin → 1er juillet lot 1</w:t>
      </w:r>
    </w:p>
    <w:p w:rsidR="00000000" w:rsidDel="00000000" w:rsidP="00000000" w:rsidRDefault="00000000" w:rsidRPr="00000000" w14:paraId="00000027">
      <w:pPr>
        <w:ind w:firstLine="720"/>
        <w:rPr/>
      </w:pPr>
      <w:r w:rsidDel="00000000" w:rsidR="00000000" w:rsidRPr="00000000">
        <w:rPr>
          <w:rFonts w:ascii="Arial Unicode MS" w:cs="Arial Unicode MS" w:eastAsia="Arial Unicode MS" w:hAnsi="Arial Unicode MS"/>
          <w:rtl w:val="0"/>
        </w:rPr>
        <w:t xml:space="preserve">1er juillet → 1er septembre lot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Le Contenu :</w:t>
      </w:r>
    </w:p>
    <w:p w:rsidR="00000000" w:rsidDel="00000000" w:rsidP="00000000" w:rsidRDefault="00000000" w:rsidRPr="00000000" w14:paraId="0000002C">
      <w:pPr>
        <w:ind w:firstLine="720"/>
        <w:rPr/>
      </w:pPr>
      <w:r w:rsidDel="00000000" w:rsidR="00000000" w:rsidRPr="00000000">
        <w:rPr>
          <w:rtl w:val="0"/>
        </w:rPr>
        <w:t xml:space="preserve">Le site Web AKE Michi ne doit présenter de redondance ni avec le site LESO Scar ni avec le site AKE Michi. Une contrainte est donc la complémentarité du site Web AKE Michi avec les autres sites du groupe.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Les Exigences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Graphisme :</w:t>
      </w:r>
    </w:p>
    <w:p w:rsidR="00000000" w:rsidDel="00000000" w:rsidP="00000000" w:rsidRDefault="00000000" w:rsidRPr="00000000" w14:paraId="00000032">
      <w:pPr>
        <w:ind w:firstLine="720"/>
        <w:rPr/>
      </w:pPr>
      <w:r w:rsidDel="00000000" w:rsidR="00000000" w:rsidRPr="00000000">
        <w:rPr>
          <w:rtl w:val="0"/>
        </w:rPr>
        <w:t xml:space="preserve">Pour son site Web, AKE Michi souhaite d’une part un graphisme épuré et d’autre part une homogénéité avec la charte graphique LESO Scar. Les couleurs à intégrer sont celles utilisées pour la plaquette de communication fournie au cours d’une des réunions préalables.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Ergonomie :</w:t>
      </w:r>
    </w:p>
    <w:p w:rsidR="00000000" w:rsidDel="00000000" w:rsidP="00000000" w:rsidRDefault="00000000" w:rsidRPr="00000000" w14:paraId="00000035">
      <w:pPr>
        <w:ind w:firstLine="720"/>
        <w:rPr/>
      </w:pPr>
      <w:r w:rsidDel="00000000" w:rsidR="00000000" w:rsidRPr="00000000">
        <w:rPr>
          <w:rtl w:val="0"/>
        </w:rPr>
        <w:t xml:space="preserve">De manière à simplifier la navigation dans le site, deux principes de bases sont retenus : </w:t>
      </w:r>
    </w:p>
    <w:p w:rsidR="00000000" w:rsidDel="00000000" w:rsidP="00000000" w:rsidRDefault="00000000" w:rsidRPr="00000000" w14:paraId="00000036">
      <w:pPr>
        <w:ind w:firstLine="720"/>
        <w:rPr/>
      </w:pPr>
      <w:r w:rsidDel="00000000" w:rsidR="00000000" w:rsidRPr="00000000">
        <w:rPr>
          <w:rtl w:val="0"/>
        </w:rPr>
        <w:t xml:space="preserve">- double barre de navigation,</w:t>
      </w:r>
    </w:p>
    <w:p w:rsidR="00000000" w:rsidDel="00000000" w:rsidP="00000000" w:rsidRDefault="00000000" w:rsidRPr="00000000" w14:paraId="00000037">
      <w:pPr>
        <w:ind w:firstLine="720"/>
        <w:rPr/>
      </w:pPr>
      <w:r w:rsidDel="00000000" w:rsidR="00000000" w:rsidRPr="00000000">
        <w:rPr>
          <w:rtl w:val="0"/>
        </w:rPr>
        <w:t xml:space="preserve"> - profondeur maximale à fixer lors de la présentation de la maquette.</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numPr>
          <w:ilvl w:val="0"/>
          <w:numId w:val="4"/>
        </w:numPr>
        <w:ind w:left="1440" w:hanging="360"/>
        <w:rPr>
          <w:u w:val="none"/>
        </w:rPr>
      </w:pPr>
      <w:r w:rsidDel="00000000" w:rsidR="00000000" w:rsidRPr="00000000">
        <w:rPr>
          <w:rtl w:val="0"/>
        </w:rPr>
        <w:t xml:space="preserve">Performances :</w:t>
      </w:r>
    </w:p>
    <w:p w:rsidR="00000000" w:rsidDel="00000000" w:rsidP="00000000" w:rsidRDefault="00000000" w:rsidRPr="00000000" w14:paraId="0000003A">
      <w:pPr>
        <w:ind w:firstLine="720"/>
        <w:rPr/>
      </w:pPr>
      <w:r w:rsidDel="00000000" w:rsidR="00000000" w:rsidRPr="00000000">
        <w:rPr>
          <w:rtl w:val="0"/>
        </w:rPr>
        <w:t xml:space="preserve"> Afin de satisfaire à la fois à la contrainte de délai, au risque de communication et à une partie de la cible visée qui ne dispose pas d’accès haut débit Internet, les pages présentées sur le site Web AKE Michi seront les plus simples possibles. Il est entendu par « simples » des pages présentant essentiellement du texte et le minimum nécessaire en termes de graphiques et de photographies. </w:t>
      </w:r>
    </w:p>
    <w:p w:rsidR="00000000" w:rsidDel="00000000" w:rsidP="00000000" w:rsidRDefault="00000000" w:rsidRPr="00000000" w14:paraId="0000003B">
      <w:pPr>
        <w:ind w:firstLine="720"/>
        <w:rPr/>
      </w:pPr>
      <w:r w:rsidDel="00000000" w:rsidR="00000000" w:rsidRPr="00000000">
        <w:rPr>
          <w:rtl w:val="0"/>
        </w:rPr>
        <w:t xml:space="preserve">Cette simplicité permet d’envisager des temps de chargement de pages acceptables par tous et quels que soient les moyens d’accès au site.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sz w:val="36"/>
          <w:szCs w:val="36"/>
        </w:rPr>
      </w:pPr>
      <w:r w:rsidDel="00000000" w:rsidR="00000000" w:rsidRPr="00000000">
        <w:rPr>
          <w:sz w:val="36"/>
          <w:szCs w:val="36"/>
          <w:rtl w:val="0"/>
        </w:rPr>
        <w:t xml:space="preserve">Le Rendu (objets/services à rendre au MOA)</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Loué un nom de domaine au nom de wwwakemishi.fr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Créer un lien hypertext pour les sites partenaires du client; lien présent sur 4 sites:</w:t>
      </w:r>
    </w:p>
    <w:p w:rsidR="00000000" w:rsidDel="00000000" w:rsidP="00000000" w:rsidRDefault="00000000" w:rsidRPr="00000000" w14:paraId="00000043">
      <w:pPr>
        <w:ind w:left="0" w:firstLine="0"/>
        <w:rPr/>
      </w:pPr>
      <w:r w:rsidDel="00000000" w:rsidR="00000000" w:rsidRPr="00000000">
        <w:rPr>
          <w:rtl w:val="0"/>
        </w:rPr>
        <w:t xml:space="preserve">- un lien hypertexte à partir du site Web d’LESO Scar, </w:t>
      </w:r>
    </w:p>
    <w:p w:rsidR="00000000" w:rsidDel="00000000" w:rsidP="00000000" w:rsidRDefault="00000000" w:rsidRPr="00000000" w14:paraId="00000044">
      <w:pPr>
        <w:ind w:left="0" w:firstLine="0"/>
        <w:rPr/>
      </w:pPr>
      <w:r w:rsidDel="00000000" w:rsidR="00000000" w:rsidRPr="00000000">
        <w:rPr>
          <w:rtl w:val="0"/>
        </w:rPr>
        <w:t xml:space="preserve">- un lien hypertexte à partir du site Web d’AKE Michi,</w:t>
      </w:r>
    </w:p>
    <w:p w:rsidR="00000000" w:rsidDel="00000000" w:rsidP="00000000" w:rsidRDefault="00000000" w:rsidRPr="00000000" w14:paraId="00000045">
      <w:pPr>
        <w:ind w:left="0" w:firstLine="0"/>
        <w:rPr/>
      </w:pPr>
      <w:r w:rsidDel="00000000" w:rsidR="00000000" w:rsidRPr="00000000">
        <w:rPr>
          <w:rtl w:val="0"/>
        </w:rPr>
        <w:t xml:space="preserve">- un lien hypertexte à partir du site Web de la Mairie de Bec en Zing, </w:t>
      </w:r>
    </w:p>
    <w:p w:rsidR="00000000" w:rsidDel="00000000" w:rsidP="00000000" w:rsidRDefault="00000000" w:rsidRPr="00000000" w14:paraId="00000046">
      <w:pPr>
        <w:ind w:left="0" w:firstLine="0"/>
        <w:rPr/>
      </w:pPr>
      <w:r w:rsidDel="00000000" w:rsidR="00000000" w:rsidRPr="00000000">
        <w:rPr>
          <w:rtl w:val="0"/>
        </w:rPr>
        <w:t xml:space="preserve">- un lien hypertexte à partir du site Web de la DRIRE Aquitaine. </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Les pages primaires accessibles par la barre de navigation et formant le noyau du lot 1 du site Web AKE Michi sont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la page d’accueil, (La page d’accueil reprend le paragraphe « A » de la plaquette en cours de réalisation « AKE Michi S.A.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la page « Le groupe LESO Scar », (La page décrivant le groupe LESO Scar présente l’organigramme page 2 du document « Historique d’AKE Michi S.A. et description des activités du Groupe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la page « Historique AKE Michi », (L’historique d’AKE Michi est reprise de la page 3 du document « Historique d’AKE Michi S.A. et description des activités du Groupe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la page « Performance et nature », (La page « Performance et nature » reprend la partie « C » de la plaquette en cours de réalisation : AKE Michi S.A. À partir de l’unité de production de chlorate de sodium (seule unité classée de AKE Michi SEVESO II), un lien hypertexte ou un sous menu mène vers les pages secondaires. C’est dans cette page également qu’un lien hypertexte ou un bouton permet de télécharger ou d’afficher le fichier pdf « Zones de risques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la page « Liens », ( les liens sont les suivants: sites Web cités au § 3.1, le Ministère de l’Aménagement du Territoire et de l’Environnement, la DRIRE Aquitaine, les sites des membres du SPPPI et les Pompiers de Bordeaux)</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la page « Contacts ». (La page contact, en plus des renseignements tirés de la page 9 du document « Historique d’AKE Michi S.A. et description des activités du Groupe » plus Jean-Pierre Sancaux et Philippe Platane)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Les pages ou fichiers secondaires du site Web AKE Michi accessibles à partir des pages primaires sont :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la page « Le risque maîtrisé », (La page secondaire « Le risque maîtrisé » reprend les paragraphes 3 à 6 de la plaquette « information population » : Le risque maîtrisé.)</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la page « Qualité, Sécurité, Environnement », (La page « Qualité, Sécurité, Environnement » reprend: soit le paragraphe « D » de la plaquette en cours de réalisation « AKE Michi S.A. », soit le document « Politique QSE : engagement de la Direction ».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la page « Hygiène/sécurité environnement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la page « Dispositions réglementaires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la page « Les alertes », </w:t>
      </w:r>
    </w:p>
    <w:p w:rsidR="00000000" w:rsidDel="00000000" w:rsidP="00000000" w:rsidRDefault="00000000" w:rsidRPr="00000000" w14:paraId="00000063">
      <w:pPr>
        <w:rPr/>
      </w:pPr>
      <w:r w:rsidDel="00000000" w:rsidR="00000000" w:rsidRPr="00000000">
        <w:rPr>
          <w:rtl w:val="0"/>
        </w:rPr>
        <w:t xml:space="preserve">(Les pages secondaires “ Hygiène/sécurité environnement”, “Dispositions réglementaires”, “Les alertes” sont les reproductions textuelles des documents sélectionnés “Hygiène / Sécurité Environnement.” “Dispositions réglementaires.” “Les alertes.”)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le fichier pdf « Zones de risques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LOT 2:</w:t>
      </w:r>
    </w:p>
    <w:p w:rsidR="00000000" w:rsidDel="00000000" w:rsidP="00000000" w:rsidRDefault="00000000" w:rsidRPr="00000000" w14:paraId="00000068">
      <w:pPr>
        <w:rPr/>
      </w:pPr>
      <w:r w:rsidDel="00000000" w:rsidR="00000000" w:rsidRPr="00000000">
        <w:rPr>
          <w:rtl w:val="0"/>
        </w:rPr>
        <w:t xml:space="preserve">Ce lot comprendra : </w:t>
      </w:r>
    </w:p>
    <w:p w:rsidR="00000000" w:rsidDel="00000000" w:rsidP="00000000" w:rsidRDefault="00000000" w:rsidRPr="00000000" w14:paraId="00000069">
      <w:pPr>
        <w:rPr/>
      </w:pPr>
      <w:r w:rsidDel="00000000" w:rsidR="00000000" w:rsidRPr="00000000">
        <w:rPr>
          <w:rtl w:val="0"/>
        </w:rPr>
        <w:t xml:space="preserve">- des informations complémentaires sur AKE Michi,</w:t>
      </w:r>
    </w:p>
    <w:p w:rsidR="00000000" w:rsidDel="00000000" w:rsidP="00000000" w:rsidRDefault="00000000" w:rsidRPr="00000000" w14:paraId="0000006A">
      <w:pPr>
        <w:rPr/>
      </w:pPr>
      <w:r w:rsidDel="00000000" w:rsidR="00000000" w:rsidRPr="00000000">
        <w:rPr>
          <w:rtl w:val="0"/>
        </w:rPr>
        <w:t xml:space="preserve"> - une page terminologie, </w:t>
      </w:r>
    </w:p>
    <w:p w:rsidR="00000000" w:rsidDel="00000000" w:rsidP="00000000" w:rsidRDefault="00000000" w:rsidRPr="00000000" w14:paraId="0000006B">
      <w:pPr>
        <w:rPr/>
      </w:pPr>
      <w:r w:rsidDel="00000000" w:rsidR="00000000" w:rsidRPr="00000000">
        <w:rPr>
          <w:rtl w:val="0"/>
        </w:rPr>
        <w:t xml:space="preserve">- une page FAQ (« Foire Aux Questions »), </w:t>
      </w:r>
    </w:p>
    <w:p w:rsidR="00000000" w:rsidDel="00000000" w:rsidP="00000000" w:rsidRDefault="00000000" w:rsidRPr="00000000" w14:paraId="0000006C">
      <w:pPr>
        <w:rPr/>
      </w:pPr>
      <w:r w:rsidDel="00000000" w:rsidR="00000000" w:rsidRPr="00000000">
        <w:rPr>
          <w:rtl w:val="0"/>
        </w:rPr>
        <w:t xml:space="preserve">- une photothèque environnement, </w:t>
      </w:r>
    </w:p>
    <w:p w:rsidR="00000000" w:rsidDel="00000000" w:rsidP="00000000" w:rsidRDefault="00000000" w:rsidRPr="00000000" w14:paraId="0000006D">
      <w:pPr>
        <w:rPr/>
      </w:pPr>
      <w:r w:rsidDel="00000000" w:rsidR="00000000" w:rsidRPr="00000000">
        <w:rPr>
          <w:rtl w:val="0"/>
        </w:rPr>
        <w:t xml:space="preserve">- un module de gestion et de mise à jour des textes et des photos, </w:t>
      </w:r>
    </w:p>
    <w:p w:rsidR="00000000" w:rsidDel="00000000" w:rsidP="00000000" w:rsidRDefault="00000000" w:rsidRPr="00000000" w14:paraId="0000006E">
      <w:pPr>
        <w:rPr/>
      </w:pPr>
      <w:r w:rsidDel="00000000" w:rsidR="00000000" w:rsidRPr="00000000">
        <w:rPr>
          <w:rtl w:val="0"/>
        </w:rPr>
        <w:t xml:space="preserve">- la possibilité de sélectionner la langue de son choix (anglais, français), </w:t>
      </w:r>
    </w:p>
    <w:p w:rsidR="00000000" w:rsidDel="00000000" w:rsidP="00000000" w:rsidRDefault="00000000" w:rsidRPr="00000000" w14:paraId="0000006F">
      <w:pPr>
        <w:rPr/>
      </w:pPr>
      <w:r w:rsidDel="00000000" w:rsidR="00000000" w:rsidRPr="00000000">
        <w:rPr>
          <w:rtl w:val="0"/>
        </w:rPr>
        <w:t xml:space="preserve">- une base de données produits (fiches produits), </w:t>
      </w:r>
    </w:p>
    <w:p w:rsidR="00000000" w:rsidDel="00000000" w:rsidP="00000000" w:rsidRDefault="00000000" w:rsidRPr="00000000" w14:paraId="00000070">
      <w:pPr>
        <w:rPr/>
      </w:pPr>
      <w:r w:rsidDel="00000000" w:rsidR="00000000" w:rsidRPr="00000000">
        <w:rPr>
          <w:rtl w:val="0"/>
        </w:rPr>
        <w:t xml:space="preserve">- la refonte du plan d’ensemble des zones de risques dans une optique plus interactive (plan « cliquable »), </w:t>
      </w:r>
    </w:p>
    <w:p w:rsidR="00000000" w:rsidDel="00000000" w:rsidP="00000000" w:rsidRDefault="00000000" w:rsidRPr="00000000" w14:paraId="00000071">
      <w:pPr>
        <w:rPr/>
      </w:pPr>
      <w:r w:rsidDel="00000000" w:rsidR="00000000" w:rsidRPr="00000000">
        <w:rPr>
          <w:rtl w:val="0"/>
        </w:rPr>
        <w:t xml:space="preserve">- la possibilité de rendre le site plus multimédia avec par exemple l’intégration d’un fichier sonore correspondant à la sirène d’alarme, </w:t>
      </w:r>
    </w:p>
    <w:p w:rsidR="00000000" w:rsidDel="00000000" w:rsidP="00000000" w:rsidRDefault="00000000" w:rsidRPr="00000000" w14:paraId="00000072">
      <w:pPr>
        <w:rPr/>
      </w:pPr>
      <w:r w:rsidDel="00000000" w:rsidR="00000000" w:rsidRPr="00000000">
        <w:rPr>
          <w:rtl w:val="0"/>
        </w:rPr>
        <w:t xml:space="preserve">- une aide globale et une aide contextuelle (« info bulle »), </w:t>
      </w:r>
    </w:p>
    <w:p w:rsidR="00000000" w:rsidDel="00000000" w:rsidP="00000000" w:rsidRDefault="00000000" w:rsidRPr="00000000" w14:paraId="00000073">
      <w:pPr>
        <w:rPr/>
      </w:pPr>
      <w:r w:rsidDel="00000000" w:rsidR="00000000" w:rsidRPr="00000000">
        <w:rPr>
          <w:rtl w:val="0"/>
        </w:rPr>
        <w:t xml:space="preserve">- une visite guidée interactive, </w:t>
      </w:r>
    </w:p>
    <w:p w:rsidR="00000000" w:rsidDel="00000000" w:rsidP="00000000" w:rsidRDefault="00000000" w:rsidRPr="00000000" w14:paraId="00000074">
      <w:pPr>
        <w:rPr/>
      </w:pPr>
      <w:r w:rsidDel="00000000" w:rsidR="00000000" w:rsidRPr="00000000">
        <w:rPr>
          <w:rtl w:val="0"/>
        </w:rPr>
        <w:t xml:space="preserve">- un moteur de recherche interne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LOT 3:</w:t>
      </w:r>
    </w:p>
    <w:p w:rsidR="00000000" w:rsidDel="00000000" w:rsidP="00000000" w:rsidRDefault="00000000" w:rsidRPr="00000000" w14:paraId="00000077">
      <w:pPr>
        <w:rPr/>
      </w:pPr>
      <w:r w:rsidDel="00000000" w:rsidR="00000000" w:rsidRPr="00000000">
        <w:rPr>
          <w:rtl w:val="0"/>
        </w:rPr>
        <w:t xml:space="preserve">Le lot 3 pourrait orienter le site vers une stratégie de commerce « business to business » avec toutes les possibilités de vente et d’achats en ligne.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Fait à bordeaux.</w:t>
      </w:r>
    </w:p>
    <w:p w:rsidR="00000000" w:rsidDel="00000000" w:rsidP="00000000" w:rsidRDefault="00000000" w:rsidRPr="00000000" w14:paraId="0000007C">
      <w:pPr>
        <w:rPr/>
      </w:pPr>
      <w:r w:rsidDel="00000000" w:rsidR="00000000" w:rsidRPr="00000000">
        <w:rPr>
          <w:rtl w:val="0"/>
        </w:rPr>
        <w:t xml:space="preserve">quelle est la différence entre le lot 1 et 2 et 3? Site différent ou juste une extension? </w:t>
      </w:r>
    </w:p>
    <w:p w:rsidR="00000000" w:rsidDel="00000000" w:rsidP="00000000" w:rsidRDefault="00000000" w:rsidRPr="00000000" w14:paraId="0000007D">
      <w:pPr>
        <w:rPr/>
      </w:pPr>
      <w:r w:rsidDel="00000000" w:rsidR="00000000" w:rsidRPr="00000000">
        <w:rPr>
          <w:rtl w:val="0"/>
        </w:rPr>
        <w:t xml:space="preserve">double barre de navigation?</w:t>
      </w:r>
    </w:p>
    <w:p w:rsidR="00000000" w:rsidDel="00000000" w:rsidP="00000000" w:rsidRDefault="00000000" w:rsidRPr="00000000" w14:paraId="000000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