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43C3" w14:textId="77777777" w:rsidR="005758A3" w:rsidRDefault="00000000">
      <w:r>
        <w:rPr>
          <w:rFonts w:ascii="Calibri" w:hAnsi="Calibri"/>
          <w:b/>
          <w:color w:val="0F4C81"/>
          <w:sz w:val="40"/>
        </w:rPr>
        <w:t>Task 2 Validation Findings</w:t>
      </w:r>
    </w:p>
    <w:p w14:paraId="36897F09" w14:textId="77777777" w:rsidR="005758A3" w:rsidRDefault="00000000">
      <w:r>
        <w:rPr>
          <w:rFonts w:ascii="Calibri" w:hAnsi="Calibri"/>
          <w:b/>
          <w:color w:val="0F4C81"/>
          <w:sz w:val="24"/>
        </w:rPr>
        <w:t>Strait Compliance — Values Audit</w:t>
      </w:r>
    </w:p>
    <w:p w14:paraId="1DF3DF55" w14:textId="77777777" w:rsidR="005758A3" w:rsidRDefault="005758A3"/>
    <w:p w14:paraId="2FCB85CA" w14:textId="77777777" w:rsidR="005758A3" w:rsidRDefault="00000000">
      <w:pPr>
        <w:pStyle w:val="Heading2"/>
      </w:pPr>
      <w:r>
        <w:rPr>
          <w:rFonts w:ascii="Calibri" w:hAnsi="Calibri"/>
          <w:color w:val="0F4C81"/>
        </w:rPr>
        <w:t>Overall assessment</w:t>
      </w:r>
    </w:p>
    <w:p w14:paraId="2DD85BEB" w14:textId="77777777" w:rsidR="005758A3" w:rsidRDefault="00000000">
      <w:r>
        <w:rPr>
          <w:rFonts w:ascii="Calibri" w:hAnsi="Calibri"/>
        </w:rPr>
        <w:t>The document is materially stronger than Task 1. Its main issues are narrower and concern (i) one repeated Singapore regulatory error, (ii) two legal overstatements around OCC Bulletin 2026-13 and reputational-risk policy, and (iii) one scope inconsistency around AML/KYC versus the actual product boundary. The document is not fundamentally unsound, but it should be tightened before submission.</w:t>
      </w:r>
    </w:p>
    <w:p w14:paraId="604B0F6D" w14:textId="77777777" w:rsidR="005758A3" w:rsidRDefault="005758A3"/>
    <w:p w14:paraId="3A9BA642" w14:textId="77777777" w:rsidR="005758A3" w:rsidRDefault="00000000">
      <w:pPr>
        <w:jc w:val="center"/>
      </w:pPr>
      <w:r>
        <w:rPr>
          <w:noProof/>
        </w:rPr>
        <w:drawing>
          <wp:inline distT="0" distB="0" distL="0" distR="0" wp14:anchorId="5599C0A3" wp14:editId="0680184B">
            <wp:extent cx="5303520" cy="2129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ings_sever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DC5" w14:textId="77777777" w:rsidR="005758A3" w:rsidRDefault="00000000">
      <w:pPr>
        <w:jc w:val="center"/>
      </w:pPr>
      <w:r>
        <w:rPr>
          <w:rFonts w:ascii="Calibri" w:hAnsi="Calibri"/>
          <w:i/>
          <w:color w:val="666666"/>
          <w:sz w:val="18"/>
        </w:rPr>
        <w:t>Figure 1. Validation findings by severity. One material factual error (high), three phrasing or scope adjustments (medium), and one framing recommendation (low).</w:t>
      </w:r>
    </w:p>
    <w:p w14:paraId="1A8ADF3D" w14:textId="77777777" w:rsidR="005758A3" w:rsidRDefault="005758A3"/>
    <w:p w14:paraId="5CA2E221" w14:textId="77777777" w:rsidR="005758A3" w:rsidRDefault="00000000">
      <w:pPr>
        <w:pStyle w:val="Heading2"/>
      </w:pPr>
      <w:r>
        <w:rPr>
          <w:rFonts w:ascii="Calibri" w:hAnsi="Calibri"/>
          <w:color w:val="0F4C81"/>
        </w:rPr>
        <w:t>The five findings in brief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6520"/>
        <w:gridCol w:w="1417"/>
      </w:tblGrid>
      <w:tr w:rsidR="005758A3" w14:paraId="3FF4F0C4" w14:textId="77777777">
        <w:tc>
          <w:tcPr>
            <w:tcW w:w="680" w:type="dxa"/>
            <w:shd w:val="clear" w:color="auto" w:fill="0F4C81"/>
          </w:tcPr>
          <w:p w14:paraId="6FC9F252" w14:textId="77777777" w:rsidR="005758A3" w:rsidRDefault="00000000"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6520" w:type="dxa"/>
            <w:shd w:val="clear" w:color="auto" w:fill="0F4C81"/>
          </w:tcPr>
          <w:p w14:paraId="31621A24" w14:textId="77777777" w:rsidR="005758A3" w:rsidRDefault="00000000"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w="1417" w:type="dxa"/>
            <w:shd w:val="clear" w:color="auto" w:fill="0F4C81"/>
          </w:tcPr>
          <w:p w14:paraId="1B91B5B7" w14:textId="77777777" w:rsidR="005758A3" w:rsidRDefault="00000000"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</w:tr>
      <w:tr w:rsidR="005758A3" w14:paraId="65740C93" w14:textId="77777777">
        <w:tc>
          <w:tcPr>
            <w:tcW w:w="680" w:type="dxa"/>
          </w:tcPr>
          <w:p w14:paraId="32C56D64" w14:textId="77777777" w:rsidR="005758A3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6520" w:type="dxa"/>
          </w:tcPr>
          <w:p w14:paraId="5B02552A" w14:textId="77777777" w:rsidR="005758A3" w:rsidRDefault="00000000">
            <w:r>
              <w:rPr>
                <w:rFonts w:ascii="Calibri" w:hAnsi="Calibri"/>
                <w:sz w:val="20"/>
              </w:rPr>
              <w:t>S$20,000 general bank threshold (Failure shape B)</w:t>
            </w:r>
          </w:p>
        </w:tc>
        <w:tc>
          <w:tcPr>
            <w:tcW w:w="1417" w:type="dxa"/>
          </w:tcPr>
          <w:p w14:paraId="038A232C" w14:textId="77777777" w:rsidR="005758A3" w:rsidRDefault="00000000">
            <w:r>
              <w:rPr>
                <w:rFonts w:ascii="Calibri" w:hAnsi="Calibri"/>
                <w:sz w:val="20"/>
              </w:rPr>
              <w:t>High</w:t>
            </w:r>
          </w:p>
        </w:tc>
      </w:tr>
      <w:tr w:rsidR="005758A3" w14:paraId="39995DEC" w14:textId="77777777">
        <w:tc>
          <w:tcPr>
            <w:tcW w:w="680" w:type="dxa"/>
          </w:tcPr>
          <w:p w14:paraId="30134915" w14:textId="77777777" w:rsidR="005758A3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6520" w:type="dxa"/>
          </w:tcPr>
          <w:p w14:paraId="6EE770C2" w14:textId="77777777" w:rsidR="005758A3" w:rsidRDefault="00000000">
            <w:r>
              <w:rPr>
                <w:rFonts w:ascii="Calibri" w:hAnsi="Calibri"/>
                <w:sz w:val="20"/>
              </w:rPr>
              <w:t>OCC Bulletin 2026-13 conclusion too strong (prima facie unreasonable)</w:t>
            </w:r>
          </w:p>
        </w:tc>
        <w:tc>
          <w:tcPr>
            <w:tcW w:w="1417" w:type="dxa"/>
          </w:tcPr>
          <w:p w14:paraId="3FDDC347" w14:textId="77777777" w:rsidR="005758A3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</w:tr>
      <w:tr w:rsidR="005758A3" w14:paraId="22B7E6B7" w14:textId="77777777">
        <w:tc>
          <w:tcPr>
            <w:tcW w:w="680" w:type="dxa"/>
          </w:tcPr>
          <w:p w14:paraId="4BB50C7D" w14:textId="77777777" w:rsidR="005758A3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6520" w:type="dxa"/>
          </w:tcPr>
          <w:p w14:paraId="7BACE482" w14:textId="77777777" w:rsidR="005758A3" w:rsidRDefault="00000000">
            <w:r>
              <w:rPr>
                <w:rFonts w:ascii="Calibri" w:hAnsi="Calibri"/>
                <w:sz w:val="20"/>
              </w:rPr>
              <w:t>Reputational-risk wording overspecified (post-2026 reputational-risk rule)</w:t>
            </w:r>
          </w:p>
        </w:tc>
        <w:tc>
          <w:tcPr>
            <w:tcW w:w="1417" w:type="dxa"/>
          </w:tcPr>
          <w:p w14:paraId="32C74BE9" w14:textId="77777777" w:rsidR="005758A3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</w:tr>
      <w:tr w:rsidR="005758A3" w14:paraId="5E32FD3D" w14:textId="77777777">
        <w:tc>
          <w:tcPr>
            <w:tcW w:w="680" w:type="dxa"/>
          </w:tcPr>
          <w:p w14:paraId="041AAF62" w14:textId="77777777" w:rsidR="005758A3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6520" w:type="dxa"/>
          </w:tcPr>
          <w:p w14:paraId="0EC6FF39" w14:textId="77777777" w:rsidR="005758A3" w:rsidRDefault="00000000">
            <w:r>
              <w:rPr>
                <w:rFonts w:ascii="Calibri" w:hAnsi="Calibri"/>
                <w:sz w:val="20"/>
              </w:rPr>
              <w:t>"AML/KYC" label does not match the actual product scope</w:t>
            </w:r>
          </w:p>
        </w:tc>
        <w:tc>
          <w:tcPr>
            <w:tcW w:w="1417" w:type="dxa"/>
          </w:tcPr>
          <w:p w14:paraId="0339DF2A" w14:textId="77777777" w:rsidR="005758A3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</w:tr>
      <w:tr w:rsidR="005758A3" w14:paraId="73E9DF79" w14:textId="77777777">
        <w:tc>
          <w:tcPr>
            <w:tcW w:w="680" w:type="dxa"/>
          </w:tcPr>
          <w:p w14:paraId="6529E2BB" w14:textId="77777777" w:rsidR="005758A3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6520" w:type="dxa"/>
          </w:tcPr>
          <w:p w14:paraId="12EBFB0D" w14:textId="77777777" w:rsidR="005758A3" w:rsidRDefault="00000000">
            <w:r>
              <w:rPr>
                <w:rFonts w:ascii="Calibri" w:hAnsi="Calibri"/>
                <w:sz w:val="20"/>
              </w:rPr>
              <w:t>Hypothetical commercial metrics read as factual claims</w:t>
            </w:r>
          </w:p>
        </w:tc>
        <w:tc>
          <w:tcPr>
            <w:tcW w:w="1417" w:type="dxa"/>
          </w:tcPr>
          <w:p w14:paraId="020AD068" w14:textId="77777777" w:rsidR="005758A3" w:rsidRDefault="00000000">
            <w:r>
              <w:rPr>
                <w:rFonts w:ascii="Calibri" w:hAnsi="Calibri"/>
                <w:sz w:val="20"/>
              </w:rPr>
              <w:t>Low</w:t>
            </w:r>
          </w:p>
        </w:tc>
      </w:tr>
    </w:tbl>
    <w:p w14:paraId="6E2F1FEA" w14:textId="77777777" w:rsidR="005758A3" w:rsidRDefault="005758A3"/>
    <w:p w14:paraId="20E847A0" w14:textId="77777777" w:rsidR="005758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309802" wp14:editId="12448FB9">
            <wp:extent cx="5943600" cy="2736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ings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318" w14:textId="418368B6" w:rsidR="005758A3" w:rsidRDefault="00000000">
      <w:pPr>
        <w:jc w:val="center"/>
      </w:pPr>
      <w:r>
        <w:rPr>
          <w:rFonts w:ascii="Calibri" w:hAnsi="Calibri"/>
          <w:i/>
          <w:color w:val="666666"/>
          <w:sz w:val="18"/>
        </w:rPr>
        <w:t xml:space="preserve">Figure 2. Findings by issue category. No single category dominates — the patches needed are surgical, not structural. Severity </w:t>
      </w:r>
      <w:r w:rsidR="00F94480">
        <w:rPr>
          <w:rFonts w:ascii="Calibri" w:hAnsi="Calibri"/>
          <w:i/>
          <w:color w:val="666666"/>
          <w:sz w:val="18"/>
        </w:rPr>
        <w:t>color</w:t>
      </w:r>
      <w:r>
        <w:rPr>
          <w:rFonts w:ascii="Calibri" w:hAnsi="Calibri"/>
          <w:i/>
          <w:color w:val="666666"/>
          <w:sz w:val="18"/>
        </w:rPr>
        <w:t xml:space="preserve"> matches Figure 1.</w:t>
      </w:r>
    </w:p>
    <w:p w14:paraId="3681EB83" w14:textId="77777777" w:rsidR="005758A3" w:rsidRDefault="005758A3"/>
    <w:p w14:paraId="3134D87B" w14:textId="77777777" w:rsidR="005758A3" w:rsidRDefault="00000000">
      <w:pPr>
        <w:pStyle w:val="Heading2"/>
      </w:pPr>
      <w:r>
        <w:rPr>
          <w:rFonts w:ascii="Calibri" w:hAnsi="Calibri"/>
          <w:color w:val="0F4C81"/>
        </w:rPr>
        <w:t>Detailed findings</w:t>
      </w:r>
    </w:p>
    <w:p w14:paraId="5361C2FF" w14:textId="77777777" w:rsidR="005758A3" w:rsidRDefault="00000000">
      <w:r>
        <w:rPr>
          <w:rFonts w:ascii="Calibri" w:hAnsi="Calibri"/>
          <w:b/>
          <w:color w:val="0F4C81"/>
        </w:rPr>
        <w:t>1. S$20,000 general bank threshold (HIGH)</w:t>
      </w:r>
    </w:p>
    <w:p w14:paraId="68828215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Where: </w:t>
      </w:r>
      <w:r>
        <w:rPr>
          <w:rFonts w:ascii="Calibri" w:hAnsi="Calibri"/>
          <w:sz w:val="20"/>
        </w:rPr>
        <w:t>Failure shape B in section 4(d).</w:t>
      </w:r>
    </w:p>
    <w:p w14:paraId="71C54A79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Why: </w:t>
      </w:r>
      <w:r>
        <w:rPr>
          <w:rFonts w:ascii="Calibri" w:hAnsi="Calibri"/>
          <w:sz w:val="20"/>
        </w:rPr>
        <w:t>The repo's verified position (see worker/RULES_VERIFICATION.md and worker/config/sg.yaml) is that Singapore banks have no general bank cash transaction reporting threshold. The S$20,000 figure belongs to PSPM-related reporting, not MAS Notice 626. The example was also miscast: a CTR is a cash reporting requirement, not a wire-transfer threshold.</w:t>
      </w:r>
    </w:p>
    <w:p w14:paraId="38C704E9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Fix: </w:t>
      </w:r>
      <w:r>
        <w:rPr>
          <w:rFonts w:ascii="Calibri" w:hAnsi="Calibri"/>
          <w:sz w:val="20"/>
        </w:rPr>
        <w:t>Rewrite Failure shape B around the actual divergence (USD-clearing-via-NY scope mis-recognition vs SG suspicion-based STR), with §1020.320(a)(2) SAR and OFAC SDN as the under-application risks. Status: APPLIED.</w:t>
      </w:r>
    </w:p>
    <w:p w14:paraId="46142959" w14:textId="77777777" w:rsidR="005758A3" w:rsidRDefault="005758A3"/>
    <w:p w14:paraId="0E8318D9" w14:textId="77777777" w:rsidR="005758A3" w:rsidRDefault="00000000">
      <w:r>
        <w:rPr>
          <w:rFonts w:ascii="Calibri" w:hAnsi="Calibri"/>
          <w:b/>
          <w:color w:val="0F4C81"/>
        </w:rPr>
        <w:t>2. OCC Bulletin 2026-13 — "prima facie unreasonable" (MEDIUM)</w:t>
      </w:r>
    </w:p>
    <w:p w14:paraId="565CE451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Where: </w:t>
      </w:r>
      <w:r>
        <w:rPr>
          <w:rFonts w:ascii="Calibri" w:hAnsi="Calibri"/>
          <w:sz w:val="20"/>
        </w:rPr>
        <w:t>Section 3, refusal of LLM-drafted SAR/STR feature.</w:t>
      </w:r>
    </w:p>
    <w:p w14:paraId="44AFED10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Why: </w:t>
      </w:r>
      <w:r>
        <w:rPr>
          <w:rFonts w:ascii="Calibri" w:hAnsi="Calibri"/>
          <w:sz w:val="20"/>
        </w:rPr>
        <w:t>OCC 2026-13 is supervisory guidance, not a direct legal prohibition on LLM-assisted drafting. The exclusion of GenAI creates governance ambiguity, not an automatic finding of unreasonableness.</w:t>
      </w:r>
    </w:p>
    <w:p w14:paraId="2C265F66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Fix: </w:t>
      </w:r>
      <w:r>
        <w:rPr>
          <w:rFonts w:ascii="Calibri" w:hAnsi="Calibri"/>
          <w:sz w:val="20"/>
        </w:rPr>
        <w:t>Reframe as governance ambiguity + heavier self-justification burden, retaining the decision to refuse the feature. Status: APPLIED.</w:t>
      </w:r>
    </w:p>
    <w:p w14:paraId="572684B3" w14:textId="77777777" w:rsidR="005758A3" w:rsidRDefault="005758A3"/>
    <w:p w14:paraId="7BBDAD27" w14:textId="77777777" w:rsidR="005758A3" w:rsidRDefault="00000000">
      <w:r>
        <w:rPr>
          <w:rFonts w:ascii="Calibri" w:hAnsi="Calibri"/>
          <w:b/>
          <w:color w:val="0F4C81"/>
        </w:rPr>
        <w:t>3. Reputational-risk policy phrasing (MEDIUM)</w:t>
      </w:r>
    </w:p>
    <w:p w14:paraId="36A8A11D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Where: </w:t>
      </w:r>
      <w:r>
        <w:rPr>
          <w:rFonts w:ascii="Calibri" w:hAnsi="Calibri"/>
          <w:sz w:val="20"/>
        </w:rPr>
        <w:t>Closing paragraph of section 4(d).</w:t>
      </w:r>
    </w:p>
    <w:p w14:paraId="7E399765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Why: </w:t>
      </w:r>
      <w:r>
        <w:rPr>
          <w:rFonts w:ascii="Calibri" w:hAnsi="Calibri"/>
          <w:sz w:val="20"/>
        </w:rPr>
        <w:t>The verified source is White House EO 14331 (Aug 2025) with a 180-day implementation window for agencies — not an "April 2026 interagency rule" as written.</w:t>
      </w:r>
    </w:p>
    <w:p w14:paraId="0271F0EF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Fix: </w:t>
      </w:r>
      <w:r>
        <w:rPr>
          <w:rFonts w:ascii="Calibri" w:hAnsi="Calibri"/>
          <w:sz w:val="20"/>
        </w:rPr>
        <w:t>Track the executive-order source exactly. Status: APPLIED.</w:t>
      </w:r>
    </w:p>
    <w:p w14:paraId="6834C262" w14:textId="77777777" w:rsidR="005758A3" w:rsidRDefault="005758A3"/>
    <w:p w14:paraId="4B122755" w14:textId="77777777" w:rsidR="005758A3" w:rsidRDefault="00000000">
      <w:r>
        <w:rPr>
          <w:rFonts w:ascii="Calibri" w:hAnsi="Calibri"/>
          <w:b/>
          <w:color w:val="0F4C81"/>
        </w:rPr>
        <w:t>4. "AML/KYC" label vs actual scope (MEDIUM)</w:t>
      </w:r>
    </w:p>
    <w:p w14:paraId="127BD0C8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Where: </w:t>
      </w:r>
      <w:r>
        <w:rPr>
          <w:rFonts w:ascii="Calibri" w:hAnsi="Calibri"/>
          <w:sz w:val="20"/>
        </w:rPr>
        <w:t>Section 2 commercial-honesty paragraph.</w:t>
      </w:r>
    </w:p>
    <w:p w14:paraId="33054786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Why: </w:t>
      </w:r>
      <w:r>
        <w:rPr>
          <w:rFonts w:ascii="Calibri" w:hAnsi="Calibri"/>
          <w:sz w:val="20"/>
        </w:rPr>
        <w:t>The same document excludes KYC onboarding (no biometric, no document verification) and integrates with specialist providers. The AML/KYC label is broader than the product.</w:t>
      </w:r>
    </w:p>
    <w:p w14:paraId="6C95A25D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Fix: </w:t>
      </w:r>
      <w:r>
        <w:rPr>
          <w:rFonts w:ascii="Calibri" w:hAnsi="Calibri"/>
          <w:sz w:val="20"/>
        </w:rPr>
        <w:t>Narrow to "AML transaction monitoring (with related CDD/EDD and case-management implications)," with an explicit "not a full KYC-onboarding tool" line. Status: APPLIED.</w:t>
      </w:r>
    </w:p>
    <w:p w14:paraId="4382BCF3" w14:textId="77777777" w:rsidR="005758A3" w:rsidRDefault="005758A3"/>
    <w:p w14:paraId="0997972A" w14:textId="77777777" w:rsidR="005758A3" w:rsidRDefault="00000000">
      <w:r>
        <w:rPr>
          <w:rFonts w:ascii="Calibri" w:hAnsi="Calibri"/>
          <w:b/>
          <w:color w:val="0F4C81"/>
        </w:rPr>
        <w:t>5. Hypothetical commercial metrics framing (LOW)</w:t>
      </w:r>
    </w:p>
    <w:p w14:paraId="178ED46B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Where: </w:t>
      </w:r>
      <w:r>
        <w:rPr>
          <w:rFonts w:ascii="Calibri" w:hAnsi="Calibri"/>
          <w:sz w:val="20"/>
        </w:rPr>
        <w:t>Section 1 stage/headcount/aspirations.</w:t>
      </w:r>
    </w:p>
    <w:p w14:paraId="5D77BC26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Why: </w:t>
      </w:r>
      <w:r>
        <w:rPr>
          <w:rFonts w:ascii="Calibri" w:hAnsi="Calibri"/>
          <w:sz w:val="20"/>
        </w:rPr>
        <w:t>The specificity of Series B amount, customer counts, ARR, TAM read like externally validated research rather than planning assumptions.</w:t>
      </w:r>
    </w:p>
    <w:p w14:paraId="5579EF3F" w14:textId="77777777" w:rsidR="005758A3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Fix: </w:t>
      </w:r>
      <w:r>
        <w:rPr>
          <w:rFonts w:ascii="Calibri" w:hAnsi="Calibri"/>
          <w:sz w:val="20"/>
        </w:rPr>
        <w:t>Tag the blocks with "(hypothetical planning figures for the assignment — not externally validated)". Status: APPLIED.</w:t>
      </w:r>
    </w:p>
    <w:p w14:paraId="41DC1DE0" w14:textId="77777777" w:rsidR="005758A3" w:rsidRDefault="005758A3"/>
    <w:p w14:paraId="3472F9FC" w14:textId="77777777" w:rsidR="005758A3" w:rsidRDefault="00000000">
      <w:pPr>
        <w:pStyle w:val="Heading2"/>
      </w:pPr>
      <w:r>
        <w:rPr>
          <w:rFonts w:ascii="Calibri" w:hAnsi="Calibri"/>
          <w:color w:val="0F4C81"/>
        </w:rPr>
        <w:t>Bottom line</w:t>
      </w:r>
    </w:p>
    <w:p w14:paraId="39ED09B2" w14:textId="77777777" w:rsidR="005758A3" w:rsidRDefault="00000000">
      <w:r>
        <w:rPr>
          <w:rFonts w:ascii="Calibri" w:hAnsi="Calibri"/>
        </w:rPr>
        <w:t>Mostly sound. The main patch was surgical — remove the repeated Singapore threshold error and tone down two legal claims that previously went further than the available support. All five findings have been applied to the source document.</w:t>
      </w:r>
    </w:p>
    <w:sectPr w:rsidR="005758A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64062">
    <w:abstractNumId w:val="8"/>
  </w:num>
  <w:num w:numId="2" w16cid:durableId="931202590">
    <w:abstractNumId w:val="6"/>
  </w:num>
  <w:num w:numId="3" w16cid:durableId="31079260">
    <w:abstractNumId w:val="5"/>
  </w:num>
  <w:num w:numId="4" w16cid:durableId="873882299">
    <w:abstractNumId w:val="4"/>
  </w:num>
  <w:num w:numId="5" w16cid:durableId="1918056123">
    <w:abstractNumId w:val="7"/>
  </w:num>
  <w:num w:numId="6" w16cid:durableId="1340231229">
    <w:abstractNumId w:val="3"/>
  </w:num>
  <w:num w:numId="7" w16cid:durableId="165293211">
    <w:abstractNumId w:val="2"/>
  </w:num>
  <w:num w:numId="8" w16cid:durableId="2034110429">
    <w:abstractNumId w:val="1"/>
  </w:num>
  <w:num w:numId="9" w16cid:durableId="127907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8A3"/>
    <w:rsid w:val="00AA1D8D"/>
    <w:rsid w:val="00B47730"/>
    <w:rsid w:val="00BF4BBD"/>
    <w:rsid w:val="00CB0664"/>
    <w:rsid w:val="00F944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BCC15"/>
  <w14:defaultImageDpi w14:val="300"/>
  <w15:docId w15:val="{104D7241-FCA7-4329-A46C-0062C265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3176</Characters>
  <Application>Microsoft Office Word</Application>
  <DocSecurity>0</DocSecurity>
  <Lines>79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Vivin Joghee</cp:lastModifiedBy>
  <cp:revision>2</cp:revision>
  <dcterms:created xsi:type="dcterms:W3CDTF">2013-12-23T23:15:00Z</dcterms:created>
  <dcterms:modified xsi:type="dcterms:W3CDTF">2026-05-15T09:33:00Z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10290069-d1ce-41ff-b55b-5a0a9163cebe</vt:lpwstr>
  </property>
</Properties>
</file>