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46B6D" w14:textId="77777777" w:rsidR="001C3D91" w:rsidRDefault="00000000">
      <w:r>
        <w:rPr>
          <w:rFonts w:ascii="Calibri" w:hAnsi="Calibri"/>
          <w:b/>
          <w:color w:val="0F4C81"/>
          <w:sz w:val="30"/>
        </w:rPr>
        <w:t>Strait Compliance — One-Page Design Summary</w:t>
      </w:r>
    </w:p>
    <w:p w14:paraId="3C0A2EA8" w14:textId="77777777" w:rsidR="001C3D91" w:rsidRDefault="00000000">
      <w:r>
        <w:rPr>
          <w:rFonts w:ascii="Calibri" w:hAnsi="Calibri"/>
          <w:color w:val="666666"/>
          <w:sz w:val="18"/>
        </w:rPr>
        <w:t>Vivin Joghee  ·  G2505378K  ·  NTU MH6822  ·  Assignment 1 (Option A: Working Prototype)</w:t>
      </w:r>
    </w:p>
    <w:p w14:paraId="6DACB8D2" w14:textId="77777777" w:rsidR="001C3D91" w:rsidRDefault="001C3D91"/>
    <w:p w14:paraId="163B4FAC" w14:textId="77777777" w:rsidR="001C3D91" w:rsidRDefault="00000000">
      <w:r>
        <w:rPr>
          <w:rFonts w:ascii="Calibri" w:hAnsi="Calibri"/>
          <w:b/>
          <w:color w:val="0F4C81"/>
        </w:rPr>
        <w:t>System at a glance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1C3D91" w14:paraId="37CACBFB" w14:textId="77777777">
        <w:tc>
          <w:tcPr>
            <w:tcW w:w="4252" w:type="dxa"/>
            <w:shd w:val="clear" w:color="auto" w:fill="F2F4F8"/>
            <w:vAlign w:val="center"/>
          </w:tcPr>
          <w:p w14:paraId="7C6C24DD" w14:textId="77777777" w:rsidR="001C3D91" w:rsidRDefault="00000000">
            <w:r>
              <w:rPr>
                <w:rFonts w:ascii="Calibri" w:hAnsi="Calibri"/>
                <w:sz w:val="18"/>
              </w:rPr>
              <w:t>Transactions scored</w:t>
            </w:r>
          </w:p>
        </w:tc>
        <w:tc>
          <w:tcPr>
            <w:tcW w:w="4252" w:type="dxa"/>
            <w:shd w:val="clear" w:color="auto" w:fill="F2F4F8"/>
            <w:vAlign w:val="center"/>
          </w:tcPr>
          <w:p w14:paraId="5BCF3901" w14:textId="77777777" w:rsidR="001C3D91" w:rsidRDefault="00000000">
            <w:r>
              <w:rPr>
                <w:rFonts w:ascii="Calibri" w:hAnsi="Calibri"/>
                <w:sz w:val="18"/>
              </w:rPr>
              <w:t>1,000</w:t>
            </w:r>
          </w:p>
        </w:tc>
      </w:tr>
      <w:tr w:rsidR="001C3D91" w14:paraId="7F2EA354" w14:textId="77777777">
        <w:tc>
          <w:tcPr>
            <w:tcW w:w="4252" w:type="dxa"/>
            <w:vAlign w:val="center"/>
          </w:tcPr>
          <w:p w14:paraId="7A00363F" w14:textId="77777777" w:rsidR="001C3D91" w:rsidRDefault="00000000">
            <w:r>
              <w:rPr>
                <w:rFonts w:ascii="Calibri" w:hAnsi="Calibri"/>
                <w:sz w:val="18"/>
              </w:rPr>
              <w:t>Customers in pool</w:t>
            </w:r>
          </w:p>
        </w:tc>
        <w:tc>
          <w:tcPr>
            <w:tcW w:w="4252" w:type="dxa"/>
            <w:vAlign w:val="center"/>
          </w:tcPr>
          <w:p w14:paraId="752DF576" w14:textId="77777777" w:rsidR="001C3D91" w:rsidRDefault="00000000">
            <w:r>
              <w:rPr>
                <w:rFonts w:ascii="Calibri" w:hAnsi="Calibri"/>
                <w:sz w:val="18"/>
              </w:rPr>
              <w:t>84</w:t>
            </w:r>
          </w:p>
        </w:tc>
      </w:tr>
      <w:tr w:rsidR="001C3D91" w14:paraId="0016C33F" w14:textId="77777777">
        <w:tc>
          <w:tcPr>
            <w:tcW w:w="4252" w:type="dxa"/>
            <w:shd w:val="clear" w:color="auto" w:fill="F2F4F8"/>
            <w:vAlign w:val="center"/>
          </w:tcPr>
          <w:p w14:paraId="3B3CCA46" w14:textId="77777777" w:rsidR="001C3D91" w:rsidRDefault="00000000">
            <w:r>
              <w:rPr>
                <w:rFonts w:ascii="Calibri" w:hAnsi="Calibri"/>
                <w:sz w:val="18"/>
              </w:rPr>
              <w:t>Alerts produced</w:t>
            </w:r>
          </w:p>
        </w:tc>
        <w:tc>
          <w:tcPr>
            <w:tcW w:w="4252" w:type="dxa"/>
            <w:shd w:val="clear" w:color="auto" w:fill="F2F4F8"/>
            <w:vAlign w:val="center"/>
          </w:tcPr>
          <w:p w14:paraId="2628A38B" w14:textId="77777777" w:rsidR="001C3D91" w:rsidRDefault="00000000">
            <w:r>
              <w:rPr>
                <w:rFonts w:ascii="Calibri" w:hAnsi="Calibri"/>
                <w:sz w:val="18"/>
              </w:rPr>
              <w:t>1,250</w:t>
            </w:r>
          </w:p>
        </w:tc>
      </w:tr>
      <w:tr w:rsidR="001C3D91" w14:paraId="6B0A67AD" w14:textId="77777777">
        <w:tc>
          <w:tcPr>
            <w:tcW w:w="4252" w:type="dxa"/>
            <w:vAlign w:val="center"/>
          </w:tcPr>
          <w:p w14:paraId="044D00C3" w14:textId="77777777" w:rsidR="001C3D91" w:rsidRDefault="00000000">
            <w:r>
              <w:rPr>
                <w:rFonts w:ascii="Calibri" w:hAnsi="Calibri"/>
                <w:sz w:val="18"/>
              </w:rPr>
              <w:t>Contradictions surfaced</w:t>
            </w:r>
          </w:p>
        </w:tc>
        <w:tc>
          <w:tcPr>
            <w:tcW w:w="4252" w:type="dxa"/>
            <w:vAlign w:val="center"/>
          </w:tcPr>
          <w:p w14:paraId="1922E726" w14:textId="77777777" w:rsidR="001C3D91" w:rsidRDefault="00000000">
            <w:r>
              <w:rPr>
                <w:rFonts w:ascii="Calibri" w:hAnsi="Calibri"/>
                <w:sz w:val="18"/>
              </w:rPr>
              <w:t>78 (across all 4 shapes)</w:t>
            </w:r>
          </w:p>
        </w:tc>
      </w:tr>
      <w:tr w:rsidR="001C3D91" w14:paraId="2D4AE818" w14:textId="77777777">
        <w:tc>
          <w:tcPr>
            <w:tcW w:w="4252" w:type="dxa"/>
            <w:shd w:val="clear" w:color="auto" w:fill="F2F4F8"/>
            <w:vAlign w:val="center"/>
          </w:tcPr>
          <w:p w14:paraId="09383B73" w14:textId="77777777" w:rsidR="001C3D91" w:rsidRDefault="00000000">
            <w:r>
              <w:rPr>
                <w:rFonts w:ascii="Calibri" w:hAnsi="Calibri"/>
                <w:sz w:val="18"/>
              </w:rPr>
              <w:t>Model ROC-AUC / PR-AUC</w:t>
            </w:r>
          </w:p>
        </w:tc>
        <w:tc>
          <w:tcPr>
            <w:tcW w:w="4252" w:type="dxa"/>
            <w:shd w:val="clear" w:color="auto" w:fill="F2F4F8"/>
            <w:vAlign w:val="center"/>
          </w:tcPr>
          <w:p w14:paraId="4D4D65E5" w14:textId="77777777" w:rsidR="001C3D91" w:rsidRDefault="00000000">
            <w:r>
              <w:rPr>
                <w:rFonts w:ascii="Calibri" w:hAnsi="Calibri"/>
                <w:sz w:val="18"/>
              </w:rPr>
              <w:t>0.97 / 0.93</w:t>
            </w:r>
          </w:p>
        </w:tc>
      </w:tr>
      <w:tr w:rsidR="001C3D91" w14:paraId="02203868" w14:textId="77777777">
        <w:tc>
          <w:tcPr>
            <w:tcW w:w="4252" w:type="dxa"/>
            <w:vAlign w:val="center"/>
          </w:tcPr>
          <w:p w14:paraId="2DB6BBC2" w14:textId="77777777" w:rsidR="001C3D91" w:rsidRDefault="00000000">
            <w:r>
              <w:rPr>
                <w:rFonts w:ascii="Calibri" w:hAnsi="Calibri"/>
                <w:sz w:val="18"/>
              </w:rPr>
              <w:t>Rules verified against primary sources</w:t>
            </w:r>
          </w:p>
        </w:tc>
        <w:tc>
          <w:tcPr>
            <w:tcW w:w="4252" w:type="dxa"/>
            <w:vAlign w:val="center"/>
          </w:tcPr>
          <w:p w14:paraId="564DCF8D" w14:textId="77777777" w:rsidR="001C3D91" w:rsidRDefault="00000000">
            <w:r>
              <w:rPr>
                <w:rFonts w:ascii="Calibri" w:hAnsi="Calibri"/>
                <w:sz w:val="18"/>
              </w:rPr>
              <w:t>11</w:t>
            </w:r>
          </w:p>
        </w:tc>
      </w:tr>
      <w:tr w:rsidR="001C3D91" w14:paraId="031DF4E7" w14:textId="77777777">
        <w:tc>
          <w:tcPr>
            <w:tcW w:w="4252" w:type="dxa"/>
            <w:shd w:val="clear" w:color="auto" w:fill="F2F4F8"/>
            <w:vAlign w:val="center"/>
          </w:tcPr>
          <w:p w14:paraId="29209BA4" w14:textId="77777777" w:rsidR="001C3D91" w:rsidRDefault="00000000">
            <w:r>
              <w:rPr>
                <w:rFonts w:ascii="Calibri" w:hAnsi="Calibri"/>
                <w:sz w:val="18"/>
              </w:rPr>
              <w:t>Auto-tuned decision threshold (F1-optimal)</w:t>
            </w:r>
          </w:p>
        </w:tc>
        <w:tc>
          <w:tcPr>
            <w:tcW w:w="4252" w:type="dxa"/>
            <w:shd w:val="clear" w:color="auto" w:fill="F2F4F8"/>
            <w:vAlign w:val="center"/>
          </w:tcPr>
          <w:p w14:paraId="62FF9C59" w14:textId="77777777" w:rsidR="001C3D91" w:rsidRDefault="00000000">
            <w:r>
              <w:rPr>
                <w:rFonts w:ascii="Calibri" w:hAnsi="Calibri"/>
                <w:sz w:val="18"/>
              </w:rPr>
              <w:t>0.5960</w:t>
            </w:r>
          </w:p>
        </w:tc>
      </w:tr>
    </w:tbl>
    <w:p w14:paraId="2F48EAFB" w14:textId="77777777" w:rsidR="001C3D91" w:rsidRDefault="001C3D91"/>
    <w:p w14:paraId="1B6B6758" w14:textId="77777777" w:rsidR="001C3D91" w:rsidRDefault="00000000">
      <w:r>
        <w:rPr>
          <w:rFonts w:ascii="Calibri" w:hAnsi="Calibri"/>
          <w:b/>
          <w:color w:val="0F4C81"/>
        </w:rPr>
        <w:t>Six design choices and why</w:t>
      </w:r>
    </w:p>
    <w:p w14:paraId="02686261" w14:textId="77777777" w:rsidR="001C3D91" w:rsidRDefault="00000000">
      <w:pPr>
        <w:spacing w:after="40"/>
      </w:pPr>
      <w:r>
        <w:rPr>
          <w:rFonts w:ascii="Calibri" w:hAnsi="Calibri"/>
          <w:b/>
          <w:color w:val="0F4C81"/>
          <w:sz w:val="20"/>
        </w:rPr>
        <w:t xml:space="preserve">1. Two rule packs side-by-side, not unified. </w:t>
      </w:r>
      <w:r>
        <w:rPr>
          <w:rFonts w:ascii="Calibri" w:hAnsi="Calibri"/>
          <w:sz w:val="20"/>
        </w:rPr>
        <w:t>US (BSA/OFAC) and SG (CDSA/MAS) are kept in independent YAML files, each with its own SHA-256. Regulators read their own rules; a unified pack hides which regime fired.</w:t>
      </w:r>
    </w:p>
    <w:p w14:paraId="7992DAAF" w14:textId="2423C673" w:rsidR="001C3D91" w:rsidRDefault="00000000">
      <w:pPr>
        <w:spacing w:after="40"/>
      </w:pPr>
      <w:r>
        <w:rPr>
          <w:rFonts w:ascii="Calibri" w:hAnsi="Calibri"/>
          <w:b/>
          <w:color w:val="0F4C81"/>
          <w:sz w:val="20"/>
        </w:rPr>
        <w:t xml:space="preserve">2. Surface contradictions; never auto-resolve. </w:t>
      </w:r>
      <w:r>
        <w:rPr>
          <w:rFonts w:ascii="Calibri" w:hAnsi="Calibri"/>
          <w:sz w:val="20"/>
        </w:rPr>
        <w:t xml:space="preserve">When </w:t>
      </w:r>
      <w:r w:rsidR="00BD547A">
        <w:rPr>
          <w:rFonts w:ascii="Calibri" w:hAnsi="Calibri" w:hint="eastAsia"/>
          <w:sz w:val="20"/>
        </w:rPr>
        <w:t xml:space="preserve">a US verdict </w:t>
      </w:r>
      <w:r w:rsidR="00BD547A">
        <w:rPr>
          <w:rFonts w:ascii="Calibri" w:hAnsi="Calibri" w:hint="eastAsia"/>
          <w:sz w:val="20"/>
        </w:rPr>
        <w:t>≠</w:t>
      </w:r>
      <w:r w:rsidR="00BD547A">
        <w:rPr>
          <w:rFonts w:ascii="Calibri" w:hAnsi="Calibri" w:hint="eastAsia"/>
          <w:sz w:val="20"/>
        </w:rPr>
        <w:t xml:space="preserve"> and an </w:t>
      </w:r>
      <w:r>
        <w:rPr>
          <w:rFonts w:ascii="Calibri" w:hAnsi="Calibri"/>
          <w:sz w:val="20"/>
        </w:rPr>
        <w:t>SG verdict</w:t>
      </w:r>
      <w:r w:rsidR="00BD547A">
        <w:rPr>
          <w:rFonts w:ascii="Calibri" w:hAnsi="Calibri"/>
          <w:sz w:val="20"/>
        </w:rPr>
        <w:t xml:space="preserve"> are received</w:t>
      </w:r>
      <w:r>
        <w:rPr>
          <w:rFonts w:ascii="Calibri" w:hAnsi="Calibri"/>
          <w:sz w:val="20"/>
        </w:rPr>
        <w:t xml:space="preserve">, the system writes a `pending` row. Silently picking the stricter rule debanks legitimate customers; silently picking the </w:t>
      </w:r>
      <w:r w:rsidR="00BD547A">
        <w:rPr>
          <w:rFonts w:ascii="Calibri" w:hAnsi="Calibri"/>
          <w:sz w:val="20"/>
        </w:rPr>
        <w:t>loser</w:t>
      </w:r>
      <w:r>
        <w:rPr>
          <w:rFonts w:ascii="Calibri" w:hAnsi="Calibri"/>
          <w:sz w:val="20"/>
        </w:rPr>
        <w:t xml:space="preserve"> one exposes the bank.</w:t>
      </w:r>
    </w:p>
    <w:p w14:paraId="11DC554E" w14:textId="6AFFD40C" w:rsidR="001C3D91" w:rsidRDefault="00000000">
      <w:pPr>
        <w:spacing w:after="40"/>
      </w:pPr>
      <w:r>
        <w:rPr>
          <w:rFonts w:ascii="Calibri" w:hAnsi="Calibri"/>
          <w:b/>
          <w:color w:val="0F4C81"/>
          <w:sz w:val="20"/>
        </w:rPr>
        <w:t xml:space="preserve">3. Every alert </w:t>
      </w:r>
      <w:r w:rsidR="00BD547A">
        <w:rPr>
          <w:rFonts w:ascii="Calibri" w:hAnsi="Calibri"/>
          <w:b/>
          <w:color w:val="0F4C81"/>
          <w:sz w:val="20"/>
        </w:rPr>
        <w:t xml:space="preserve">is </w:t>
      </w:r>
      <w:r>
        <w:rPr>
          <w:rFonts w:ascii="Calibri" w:hAnsi="Calibri"/>
          <w:b/>
          <w:color w:val="0F4C81"/>
          <w:sz w:val="20"/>
        </w:rPr>
        <w:t xml:space="preserve">SHA-pinned. </w:t>
      </w:r>
      <w:r>
        <w:rPr>
          <w:rFonts w:ascii="Calibri" w:hAnsi="Calibri"/>
          <w:sz w:val="20"/>
        </w:rPr>
        <w:t>Two columns on every alert: `rule_pack_sha`, `model_sha`. Rule changes and model retrains happen weekly; without SHAs, "why did this fire on 12 March?" is unanswerable.</w:t>
      </w:r>
    </w:p>
    <w:p w14:paraId="4CC140C4" w14:textId="44B2BC30" w:rsidR="001C3D91" w:rsidRDefault="00000000">
      <w:pPr>
        <w:spacing w:after="40"/>
      </w:pPr>
      <w:r>
        <w:rPr>
          <w:rFonts w:ascii="Calibri" w:hAnsi="Calibri"/>
          <w:b/>
          <w:color w:val="0F4C81"/>
          <w:sz w:val="20"/>
        </w:rPr>
        <w:t xml:space="preserve">4. Rule engine + ML, not ML alone. </w:t>
      </w:r>
      <w:r>
        <w:rPr>
          <w:rFonts w:ascii="Calibri" w:hAnsi="Calibri"/>
          <w:sz w:val="20"/>
        </w:rPr>
        <w:t xml:space="preserve">Deterministic rules </w:t>
      </w:r>
      <w:r w:rsidR="00BD547A">
        <w:rPr>
          <w:rFonts w:ascii="Calibri" w:hAnsi="Calibri"/>
          <w:sz w:val="20"/>
        </w:rPr>
        <w:t>capture what the law explicitly forbids (sanctions, CTR, PEP, SAR floor</w:t>
      </w:r>
      <w:r>
        <w:rPr>
          <w:rFonts w:ascii="Calibri" w:hAnsi="Calibri"/>
          <w:sz w:val="20"/>
        </w:rPr>
        <w:t xml:space="preserve">). ML catches the long tail (velocity, </w:t>
      </w:r>
      <w:r w:rsidR="00BD547A">
        <w:rPr>
          <w:rFonts w:ascii="Calibri" w:hAnsi="Calibri"/>
          <w:sz w:val="20"/>
        </w:rPr>
        <w:t>behavioral</w:t>
      </w:r>
      <w:r>
        <w:rPr>
          <w:rFonts w:ascii="Calibri" w:hAnsi="Calibri"/>
          <w:sz w:val="20"/>
        </w:rPr>
        <w:t xml:space="preserve"> deviation, TBML). The two are </w:t>
      </w:r>
      <w:r w:rsidR="00BD547A">
        <w:rPr>
          <w:rFonts w:ascii="Calibri" w:hAnsi="Calibri"/>
          <w:sz w:val="20"/>
        </w:rPr>
        <w:t>bound with explicit `rule_owned_subshapes,</w:t>
      </w:r>
      <w:r>
        <w:rPr>
          <w:rFonts w:ascii="Calibri" w:hAnsi="Calibri"/>
          <w:sz w:val="20"/>
        </w:rPr>
        <w:t>` so the model does not over-fire on cases the rule already handles.</w:t>
      </w:r>
    </w:p>
    <w:p w14:paraId="2CDE7838" w14:textId="3B0D825B" w:rsidR="001C3D91" w:rsidRDefault="00000000">
      <w:pPr>
        <w:spacing w:after="40"/>
      </w:pPr>
      <w:r>
        <w:rPr>
          <w:rFonts w:ascii="Calibri" w:hAnsi="Calibri"/>
          <w:b/>
          <w:color w:val="0F4C81"/>
          <w:sz w:val="20"/>
        </w:rPr>
        <w:t xml:space="preserve">5. Threshold sourced from the model card, not the YAML. </w:t>
      </w:r>
      <w:r>
        <w:rPr>
          <w:rFonts w:ascii="Calibri" w:hAnsi="Calibri"/>
          <w:sz w:val="20"/>
        </w:rPr>
        <w:t xml:space="preserve">The F1-optimal threshold </w:t>
      </w:r>
      <w:r w:rsidR="00BD547A">
        <w:rPr>
          <w:rFonts w:ascii="Calibri" w:hAnsi="Calibri"/>
          <w:sz w:val="20"/>
        </w:rPr>
        <w:t>is included in</w:t>
      </w:r>
      <w:r>
        <w:rPr>
          <w:rFonts w:ascii="Calibri" w:hAnsi="Calibri"/>
          <w:sz w:val="20"/>
        </w:rPr>
        <w:t xml:space="preserve"> `model-metadata.json`. Re-training shifts the score distribution; hard-coding it in the YAML silently invalidates every alert after the next retrain.</w:t>
      </w:r>
    </w:p>
    <w:p w14:paraId="6DB6CE17" w14:textId="7B28BC70" w:rsidR="001C3D91" w:rsidRDefault="00000000">
      <w:pPr>
        <w:spacing w:after="40"/>
      </w:pPr>
      <w:r>
        <w:rPr>
          <w:rFonts w:ascii="Calibri" w:hAnsi="Calibri"/>
          <w:b/>
          <w:color w:val="0F4C81"/>
          <w:sz w:val="20"/>
        </w:rPr>
        <w:t xml:space="preserve">6. Reproducible synthetic data with seeded UUIDs. </w:t>
      </w:r>
      <w:r>
        <w:rPr>
          <w:rFonts w:ascii="Calibri" w:hAnsi="Calibri"/>
          <w:sz w:val="20"/>
        </w:rPr>
        <w:t xml:space="preserve">`generate_synthetic_data.py --seed 42` produces byte-identical output every run. Required so a regulator can regenerate the training set six months later — unseeded </w:t>
      </w:r>
      <w:r w:rsidR="00BD547A">
        <w:rPr>
          <w:rFonts w:ascii="Calibri" w:hAnsi="Calibri"/>
          <w:sz w:val="20"/>
        </w:rPr>
        <w:t xml:space="preserve">UUID. UUID4 </w:t>
      </w:r>
      <w:r>
        <w:rPr>
          <w:rFonts w:ascii="Calibri" w:hAnsi="Calibri"/>
          <w:sz w:val="20"/>
        </w:rPr>
        <w:t>() made this impossible until that hole was found and fixed.</w:t>
      </w:r>
    </w:p>
    <w:p w14:paraId="190D28B7" w14:textId="77777777" w:rsidR="001C3D91" w:rsidRDefault="001C3D91"/>
    <w:p w14:paraId="28DFBEBC" w14:textId="77777777" w:rsidR="001C3D91" w:rsidRDefault="00000000">
      <w:r>
        <w:rPr>
          <w:rFonts w:ascii="Calibri" w:hAnsi="Calibri"/>
          <w:b/>
          <w:color w:val="0F4C81"/>
        </w:rPr>
        <w:t>Contradictions emerged — not engineered (78 total)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268"/>
        <w:gridCol w:w="3969"/>
      </w:tblGrid>
      <w:tr w:rsidR="001C3D91" w14:paraId="4B9FC0E4" w14:textId="77777777">
        <w:tc>
          <w:tcPr>
            <w:tcW w:w="2551" w:type="dxa"/>
          </w:tcPr>
          <w:p w14:paraId="2AA50C5D" w14:textId="77777777" w:rsidR="001C3D91" w:rsidRDefault="00000000">
            <w:r>
              <w:rPr>
                <w:rFonts w:ascii="Calibri" w:hAnsi="Calibri"/>
                <w:sz w:val="18"/>
              </w:rPr>
              <w:t>US flag / SG block</w:t>
            </w:r>
          </w:p>
        </w:tc>
        <w:tc>
          <w:tcPr>
            <w:tcW w:w="2268" w:type="dxa"/>
          </w:tcPr>
          <w:p w14:paraId="18D80C00" w14:textId="77777777" w:rsidR="001C3D91" w:rsidRDefault="00000000">
            <w:r>
              <w:rPr>
                <w:rFonts w:ascii="Consolas" w:hAnsi="Consolas"/>
                <w:sz w:val="18"/>
              </w:rPr>
              <w:t>████████████████████████████████████  36</w:t>
            </w:r>
          </w:p>
        </w:tc>
        <w:tc>
          <w:tcPr>
            <w:tcW w:w="3969" w:type="dxa"/>
          </w:tcPr>
          <w:p w14:paraId="33512907" w14:textId="77777777" w:rsidR="001C3D91" w:rsidRDefault="00000000">
            <w:r>
              <w:rPr>
                <w:rFonts w:ascii="Calibri" w:hAnsi="Calibri"/>
                <w:sz w:val="18"/>
              </w:rPr>
              <w:t>MAS principles-based block where US only flags</w:t>
            </w:r>
          </w:p>
        </w:tc>
      </w:tr>
      <w:tr w:rsidR="001C3D91" w14:paraId="55E8000C" w14:textId="77777777">
        <w:tc>
          <w:tcPr>
            <w:tcW w:w="2551" w:type="dxa"/>
          </w:tcPr>
          <w:p w14:paraId="4AB7D261" w14:textId="77777777" w:rsidR="001C3D91" w:rsidRDefault="00000000">
            <w:r>
              <w:rPr>
                <w:rFonts w:ascii="Calibri" w:hAnsi="Calibri"/>
                <w:sz w:val="18"/>
              </w:rPr>
              <w:t>US block / SG flag</w:t>
            </w:r>
          </w:p>
        </w:tc>
        <w:tc>
          <w:tcPr>
            <w:tcW w:w="2268" w:type="dxa"/>
          </w:tcPr>
          <w:p w14:paraId="090EAE21" w14:textId="77777777" w:rsidR="001C3D91" w:rsidRDefault="00000000">
            <w:r>
              <w:rPr>
                <w:rFonts w:ascii="Consolas" w:hAnsi="Consolas"/>
                <w:sz w:val="18"/>
              </w:rPr>
              <w:t>██████████████████                    18</w:t>
            </w:r>
          </w:p>
        </w:tc>
        <w:tc>
          <w:tcPr>
            <w:tcW w:w="3969" w:type="dxa"/>
          </w:tcPr>
          <w:p w14:paraId="133AE821" w14:textId="77777777" w:rsidR="001C3D91" w:rsidRDefault="00000000">
            <w:r>
              <w:rPr>
                <w:rFonts w:ascii="Calibri" w:hAnsi="Calibri"/>
                <w:sz w:val="18"/>
              </w:rPr>
              <w:t>OFAC SDN + co-firing foreign PEP</w:t>
            </w:r>
          </w:p>
        </w:tc>
      </w:tr>
      <w:tr w:rsidR="001C3D91" w14:paraId="1168B15D" w14:textId="77777777">
        <w:tc>
          <w:tcPr>
            <w:tcW w:w="2551" w:type="dxa"/>
          </w:tcPr>
          <w:p w14:paraId="40569FD4" w14:textId="77777777" w:rsidR="001C3D91" w:rsidRDefault="00000000">
            <w:r>
              <w:rPr>
                <w:rFonts w:ascii="Calibri" w:hAnsi="Calibri"/>
                <w:sz w:val="18"/>
              </w:rPr>
              <w:t>US block / SG allow</w:t>
            </w:r>
          </w:p>
        </w:tc>
        <w:tc>
          <w:tcPr>
            <w:tcW w:w="2268" w:type="dxa"/>
          </w:tcPr>
          <w:p w14:paraId="563E6F31" w14:textId="77777777" w:rsidR="001C3D91" w:rsidRDefault="00000000">
            <w:r>
              <w:rPr>
                <w:rFonts w:ascii="Consolas" w:hAnsi="Consolas"/>
                <w:sz w:val="18"/>
              </w:rPr>
              <w:t>████████████                          12</w:t>
            </w:r>
          </w:p>
        </w:tc>
        <w:tc>
          <w:tcPr>
            <w:tcW w:w="3969" w:type="dxa"/>
          </w:tcPr>
          <w:p w14:paraId="343C8936" w14:textId="77777777" w:rsidR="001C3D91" w:rsidRDefault="00000000">
            <w:r>
              <w:rPr>
                <w:rFonts w:ascii="Calibri" w:hAnsi="Calibri"/>
                <w:sz w:val="18"/>
              </w:rPr>
              <w:t>OFAC SDN with weak SG-side signal</w:t>
            </w:r>
          </w:p>
        </w:tc>
      </w:tr>
      <w:tr w:rsidR="001C3D91" w14:paraId="36A40212" w14:textId="77777777">
        <w:tc>
          <w:tcPr>
            <w:tcW w:w="2551" w:type="dxa"/>
          </w:tcPr>
          <w:p w14:paraId="786900F7" w14:textId="77777777" w:rsidR="001C3D91" w:rsidRDefault="00000000">
            <w:r>
              <w:rPr>
                <w:rFonts w:ascii="Calibri" w:hAnsi="Calibri"/>
                <w:sz w:val="18"/>
              </w:rPr>
              <w:t>US allow / SG block</w:t>
            </w:r>
          </w:p>
        </w:tc>
        <w:tc>
          <w:tcPr>
            <w:tcW w:w="2268" w:type="dxa"/>
          </w:tcPr>
          <w:p w14:paraId="6F570F2B" w14:textId="77777777" w:rsidR="001C3D91" w:rsidRDefault="00000000">
            <w:r>
              <w:rPr>
                <w:rFonts w:ascii="Consolas" w:hAnsi="Consolas"/>
                <w:sz w:val="18"/>
              </w:rPr>
              <w:t>████████████                          12</w:t>
            </w:r>
          </w:p>
        </w:tc>
        <w:tc>
          <w:tcPr>
            <w:tcW w:w="3969" w:type="dxa"/>
          </w:tcPr>
          <w:p w14:paraId="79EDE62B" w14:textId="77777777" w:rsidR="001C3D91" w:rsidRDefault="00000000">
            <w:r>
              <w:rPr>
                <w:rFonts w:ascii="Calibri" w:hAnsi="Calibri"/>
                <w:sz w:val="18"/>
              </w:rPr>
              <w:t>SG.RBR TBML where US has no rule lever</w:t>
            </w:r>
          </w:p>
        </w:tc>
      </w:tr>
    </w:tbl>
    <w:p w14:paraId="4CF04F85" w14:textId="77777777" w:rsidR="001C3D91" w:rsidRDefault="001C3D91"/>
    <w:p w14:paraId="3A277922" w14:textId="77777777" w:rsidR="001C3D91" w:rsidRDefault="00000000">
      <w:r>
        <w:rPr>
          <w:rFonts w:ascii="Calibri" w:hAnsi="Calibri"/>
          <w:b/>
          <w:color w:val="0F4C81"/>
        </w:rPr>
        <w:lastRenderedPageBreak/>
        <w:t>What the tool intentionally does NOT do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5669"/>
      </w:tblGrid>
      <w:tr w:rsidR="001C3D91" w14:paraId="5A156DE8" w14:textId="77777777">
        <w:tc>
          <w:tcPr>
            <w:tcW w:w="3118" w:type="dxa"/>
            <w:shd w:val="clear" w:color="auto" w:fill="FFF7E8"/>
          </w:tcPr>
          <w:p w14:paraId="175EE2B3" w14:textId="77777777" w:rsidR="001C3D91" w:rsidRDefault="00000000">
            <w:r>
              <w:rPr>
                <w:rFonts w:ascii="Calibri" w:hAnsi="Calibri"/>
                <w:sz w:val="18"/>
              </w:rPr>
              <w:t>KYC onboarding (biometric + doc verification)</w:t>
            </w:r>
          </w:p>
        </w:tc>
        <w:tc>
          <w:tcPr>
            <w:tcW w:w="5669" w:type="dxa"/>
            <w:shd w:val="clear" w:color="auto" w:fill="FFF7E8"/>
          </w:tcPr>
          <w:p w14:paraId="2E2B9C3C" w14:textId="77777777" w:rsidR="001C3D91" w:rsidRDefault="00000000">
            <w:r>
              <w:rPr>
                <w:rFonts w:ascii="Calibri" w:hAnsi="Calibri"/>
                <w:sz w:val="18"/>
              </w:rPr>
              <w:t>Specialist vendors do this better (Onfido/Sumsub/Jumio). Out of scope.</w:t>
            </w:r>
          </w:p>
        </w:tc>
      </w:tr>
      <w:tr w:rsidR="001C3D91" w14:paraId="4E564AFC" w14:textId="77777777">
        <w:tc>
          <w:tcPr>
            <w:tcW w:w="3118" w:type="dxa"/>
          </w:tcPr>
          <w:p w14:paraId="03263B65" w14:textId="77777777" w:rsidR="001C3D91" w:rsidRDefault="00000000">
            <w:r>
              <w:rPr>
                <w:rFonts w:ascii="Calibri" w:hAnsi="Calibri"/>
                <w:sz w:val="18"/>
              </w:rPr>
              <w:t>LLM-drafted SAR/STR narratives</w:t>
            </w:r>
          </w:p>
        </w:tc>
        <w:tc>
          <w:tcPr>
            <w:tcW w:w="5669" w:type="dxa"/>
          </w:tcPr>
          <w:p w14:paraId="6CC14A8F" w14:textId="77777777" w:rsidR="001C3D91" w:rsidRDefault="00000000">
            <w:r>
              <w:rPr>
                <w:rFonts w:ascii="Calibri" w:hAnsi="Calibri"/>
                <w:sz w:val="18"/>
              </w:rPr>
              <w:t>OCC Bulletin 2026-13 disclaims governance over GenAI. We will not move that liability onto clients.</w:t>
            </w:r>
          </w:p>
        </w:tc>
      </w:tr>
      <w:tr w:rsidR="001C3D91" w14:paraId="79C60CB1" w14:textId="77777777">
        <w:tc>
          <w:tcPr>
            <w:tcW w:w="3118" w:type="dxa"/>
            <w:shd w:val="clear" w:color="auto" w:fill="FFF7E8"/>
          </w:tcPr>
          <w:p w14:paraId="5F8779D7" w14:textId="77777777" w:rsidR="001C3D91" w:rsidRDefault="00000000">
            <w:r>
              <w:rPr>
                <w:rFonts w:ascii="Calibri" w:hAnsi="Calibri"/>
                <w:sz w:val="18"/>
              </w:rPr>
              <w:t>EU 6AMLD coverage</w:t>
            </w:r>
          </w:p>
        </w:tc>
        <w:tc>
          <w:tcPr>
            <w:tcW w:w="5669" w:type="dxa"/>
            <w:shd w:val="clear" w:color="auto" w:fill="FFF7E8"/>
          </w:tcPr>
          <w:p w14:paraId="6B5A1434" w14:textId="77777777" w:rsidR="001C3D91" w:rsidRDefault="00000000">
            <w:r>
              <w:rPr>
                <w:rFonts w:ascii="Calibri" w:hAnsi="Calibri"/>
                <w:sz w:val="18"/>
              </w:rPr>
              <w:t>Not yet properly studied. Claiming otherwise contradicts the audit-honesty discipline this tool is built around.</w:t>
            </w:r>
          </w:p>
        </w:tc>
      </w:tr>
      <w:tr w:rsidR="001C3D91" w14:paraId="085D8A58" w14:textId="77777777">
        <w:tc>
          <w:tcPr>
            <w:tcW w:w="3118" w:type="dxa"/>
          </w:tcPr>
          <w:p w14:paraId="3DE1E19B" w14:textId="77777777" w:rsidR="001C3D91" w:rsidRDefault="00000000">
            <w:r>
              <w:rPr>
                <w:rFonts w:ascii="Calibri" w:hAnsi="Calibri"/>
                <w:sz w:val="18"/>
              </w:rPr>
              <w:t>Fictional sanctioned entities (real-world names)</w:t>
            </w:r>
          </w:p>
        </w:tc>
        <w:tc>
          <w:tcPr>
            <w:tcW w:w="5669" w:type="dxa"/>
          </w:tcPr>
          <w:p w14:paraId="1D98C22A" w14:textId="77777777" w:rsidR="001C3D91" w:rsidRDefault="00000000">
            <w:r>
              <w:rPr>
                <w:rFonts w:ascii="Calibri" w:hAnsi="Calibri"/>
                <w:sz w:val="18"/>
              </w:rPr>
              <w:t>Synthetic OFAC/MAS entities are explicitly flagged via raw columns; we never claim a real entity is sanctioned.</w:t>
            </w:r>
          </w:p>
        </w:tc>
      </w:tr>
    </w:tbl>
    <w:p w14:paraId="07911795" w14:textId="77777777" w:rsidR="00700649" w:rsidRDefault="00700649"/>
    <w:sectPr w:rsidR="00700649" w:rsidSect="00034616">
      <w:pgSz w:w="12240" w:h="15840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177149">
    <w:abstractNumId w:val="8"/>
  </w:num>
  <w:num w:numId="2" w16cid:durableId="141777177">
    <w:abstractNumId w:val="6"/>
  </w:num>
  <w:num w:numId="3" w16cid:durableId="364334135">
    <w:abstractNumId w:val="5"/>
  </w:num>
  <w:num w:numId="4" w16cid:durableId="1463301279">
    <w:abstractNumId w:val="4"/>
  </w:num>
  <w:num w:numId="5" w16cid:durableId="2144807036">
    <w:abstractNumId w:val="7"/>
  </w:num>
  <w:num w:numId="6" w16cid:durableId="2041591097">
    <w:abstractNumId w:val="3"/>
  </w:num>
  <w:num w:numId="7" w16cid:durableId="1740515947">
    <w:abstractNumId w:val="2"/>
  </w:num>
  <w:num w:numId="8" w16cid:durableId="2139909057">
    <w:abstractNumId w:val="1"/>
  </w:num>
  <w:num w:numId="9" w16cid:durableId="71404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D91"/>
    <w:rsid w:val="0029639D"/>
    <w:rsid w:val="00326F90"/>
    <w:rsid w:val="00700649"/>
    <w:rsid w:val="00AA1D8D"/>
    <w:rsid w:val="00B47730"/>
    <w:rsid w:val="00BD547A"/>
    <w:rsid w:val="00CB0664"/>
    <w:rsid w:val="00E300F6"/>
    <w:rsid w:val="00E378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63612"/>
  <w14:defaultImageDpi w14:val="300"/>
  <w15:docId w15:val="{C0710941-8136-4A8E-A6C6-343BEF9E2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442</Words>
  <Characters>2540</Characters>
  <Application>Microsoft Office Word</Application>
  <DocSecurity>0</DocSecurity>
  <Lines>70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Vivin Joghee</cp:lastModifiedBy>
  <cp:revision>2</cp:revision>
  <dcterms:created xsi:type="dcterms:W3CDTF">2013-12-23T23:15:00Z</dcterms:created>
  <dcterms:modified xsi:type="dcterms:W3CDTF">2026-05-15T09:21:00Z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49943219-a2c0-43af-b8d4-d71cfc29aa4d</vt:lpwstr>
  </property>
</Properties>
</file>