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Final de Aseguramiento de Calidad</w:t>
      </w:r>
    </w:p>
    <w:p>
      <w:pPr>
        <w:pStyle w:val="Heading1"/>
      </w:pPr>
      <w:r>
        <w:t>Reto Práctico — Módulo 5: QA Cloud-Native</w:t>
      </w:r>
    </w:p>
    <w:p>
      <w:r/>
      <w:r>
        <w:rPr>
          <w:b/>
        </w:rPr>
        <w:t>Proyecto:</w:t>
      </w:r>
      <w:r>
        <w:t xml:space="preserve"> App Tienda</w:t>
      </w:r>
    </w:p>
    <w:p>
      <w:r/>
      <w:r>
        <w:rPr>
          <w:b/>
        </w:rPr>
        <w:t>Repositorio:</w:t>
      </w:r>
      <w:r>
        <w:t xml:space="preserve"> vivirodasm/Diplomado-Modulo5</w:t>
      </w:r>
    </w:p>
    <w:p>
      <w:r/>
      <w:r>
        <w:rPr>
          <w:b/>
        </w:rPr>
        <w:t>Rama:</w:t>
      </w:r>
      <w:r>
        <w:t xml:space="preserve"> reto-practico-modulo5</w:t>
      </w:r>
    </w:p>
    <w:p>
      <w:r/>
      <w:r>
        <w:rPr>
          <w:b/>
        </w:rPr>
        <w:t>Fecha:</w:t>
      </w:r>
      <w:r>
        <w:t xml:space="preserve"> 1 de noviembre de 2026</w:t>
      </w:r>
    </w:p>
    <w:p>
      <w:r/>
      <w:r>
        <w:rPr>
          <w:b/>
        </w:rPr>
        <w:t>Estado:</w:t>
      </w:r>
      <w:r>
        <w:t xml:space="preserve"> Implementación y validación de las fases 1 a 6, con publicación en ACR pendiente.</w:t>
      </w:r>
    </w:p>
    <w:p>
      <w:pPr>
        <w:pStyle w:val="Heading1"/>
      </w:pPr>
      <w:r>
        <w:t>1. Introducción</w:t>
      </w:r>
    </w:p>
    <w:p>
      <w:r>
        <w:t>El presente informe documenta las actividades de aseguramiento de calidad realizadas durante el Reto Práctico del Módulo 5, orientado a la implementación de estrategias de automatización, integración continua, pruebas en la nube y validación de contratos.</w:t>
      </w:r>
    </w:p>
    <w:p>
      <w:r>
        <w:t xml:space="preserve">El proyecto utiliza una aplicación de comercio electrónico denominada </w:t>
      </w:r>
      <w:r>
        <w:rPr>
          <w:b/>
        </w:rPr>
        <w:t>App Tienda</w:t>
      </w:r>
      <w:r>
        <w:t>, desarrollada con Node.js y Express.</w:t>
      </w:r>
    </w:p>
    <w:p>
      <w:r>
        <w:t>Durante el ejercicio se integraron herramientas como Faker, Azure DevOps, Playwright, pytest-bdd, Selenium, Sauce Labs, Podman y Pact.</w:t>
      </w:r>
    </w:p>
    <w:p>
      <w:pPr>
        <w:pStyle w:val="Heading1"/>
      </w:pPr>
      <w:r>
        <w:t>2. Objetivo general</w:t>
      </w:r>
    </w:p>
    <w:p>
      <w:r>
        <w:t>Implementar y validar una estrategia de automatización QA Cloud-Native que permita detectar defectos tempranamente, ejecutar pruebas en diferentes niveles y generar evidencias verificables de los resultados.</w:t>
      </w:r>
    </w:p>
    <w:p>
      <w:pPr>
        <w:pStyle w:val="Heading1"/>
      </w:pPr>
      <w:r>
        <w:t>3. Fase 1 — Datos sintéticos</w:t>
      </w:r>
    </w:p>
    <w:p>
      <w:r>
        <w:t>Se implementó la generación de datos de prueba mediante Faker.</w:t>
      </w:r>
    </w:p>
    <w:p>
      <w:r/>
      <w:r>
        <w:rPr>
          <w:b/>
        </w:rPr>
        <w:t>Resultados:</w:t>
      </w:r>
      <w:r/>
    </w:p>
    <w:p>
      <w:pPr>
        <w:pStyle w:val="ListBullet"/>
      </w:pPr>
      <w:r>
        <w:t>Generación de un catálogo de 24 productos.</w:t>
      </w:r>
    </w:p>
    <w:p>
      <w:pPr>
        <w:pStyle w:val="ListBullet"/>
      </w:pPr>
      <w:r>
        <w:t>Distribución de productos en cuatro categorías.</w:t>
      </w:r>
    </w:p>
    <w:p>
      <w:pPr>
        <w:pStyle w:val="ListBullet"/>
      </w:pPr>
      <w:r>
        <w:t>Datos utilizados para las pruebas funcionales y de API.</w:t>
      </w:r>
    </w:p>
    <w:p>
      <w:r/>
      <w:r>
        <w:rPr>
          <w:b/>
        </w:rPr>
        <w:t>Conclusión QA:</w:t>
      </w:r>
      <w:r>
        <w:t xml:space="preserve"> los datos sintéticos permiten disponer de información de prueba sin depender de registros reales de clientes.</w:t>
      </w:r>
    </w:p>
    <w:p>
      <w:pPr>
        <w:pStyle w:val="Heading1"/>
      </w:pPr>
      <w:r>
        <w:t>4. Fase 2 — Integración continua con Azure DevOps</w:t>
      </w:r>
    </w:p>
    <w:p>
      <w:r>
        <w:t>Se configuró un pipeline para automatizar las validaciones del proyecto.</w:t>
      </w:r>
    </w:p>
    <w:p>
      <w:r/>
      <w:r>
        <w:rPr>
          <w:b/>
        </w:rPr>
        <w:t>Etapas implementadas:</w:t>
      </w:r>
      <w:r/>
    </w:p>
    <w:p>
      <w:pPr>
        <w:pStyle w:val="ListBullet"/>
      </w:pPr>
      <w:r>
        <w:t>Build.</w:t>
      </w:r>
    </w:p>
    <w:p>
      <w:pPr>
        <w:pStyle w:val="ListBullet"/>
      </w:pPr>
      <w:r>
        <w:t>SmokeTests.</w:t>
      </w:r>
    </w:p>
    <w:p>
      <w:pPr>
        <w:pStyle w:val="ListBullet"/>
      </w:pPr>
      <w:r>
        <w:t>LoadTest.</w:t>
      </w:r>
    </w:p>
    <w:p>
      <w:r>
        <w:t>Se incorporaron controles para detectar fallos durante las ejecuciones automatizadas.</w:t>
      </w:r>
    </w:p>
    <w:p>
      <w:r/>
      <w:r>
        <w:rPr>
          <w:b/>
        </w:rPr>
        <w:t>Resultado:</w:t>
      </w:r>
      <w:r>
        <w:t xml:space="preserve"> se obtuvieron ejecuciones exitosas del pipeline, registradas en Azure DevOps.</w:t>
      </w:r>
    </w:p>
    <w:p>
      <w:r/>
      <w:r>
        <w:rPr>
          <w:b/>
        </w:rPr>
        <w:t>Conclusión QA:</w:t>
      </w:r>
      <w:r>
        <w:t xml:space="preserve"> la integración continua permite ejecutar controles de calidad de forma repetible y detectar problemas antes de continuar con la entrega.</w:t>
      </w:r>
    </w:p>
    <w:p>
      <w:pPr>
        <w:pStyle w:val="Heading1"/>
      </w:pPr>
      <w:r>
        <w:t>5. Fase 3 — BDD, Screenplay y Test Plans</w:t>
      </w:r>
    </w:p>
    <w:p>
      <w:r>
        <w:t>Se implementaron escenarios de comportamiento mediante BDD y pruebas automatizadas con Playwright, pytest y pytest-bdd.</w:t>
      </w:r>
    </w:p>
    <w:p>
      <w:r>
        <w:t>Se aplicó el patrón Screenplay para organizar la automatización.</w:t>
      </w:r>
    </w:p>
    <w:p>
      <w:r/>
      <w:r>
        <w:rPr>
          <w:b/>
        </w:rPr>
        <w:t>Resultados:</w:t>
      </w:r>
      <w:r/>
    </w:p>
    <w:p>
      <w:pPr>
        <w:pStyle w:val="ListBullet"/>
      </w:pPr>
      <w:r>
        <w:t>Cinco pruebas BDD/E2E aprobadas.</w:t>
      </w:r>
    </w:p>
    <w:p>
      <w:pPr>
        <w:pStyle w:val="ListBullet"/>
      </w:pPr>
      <w:r>
        <w:t>Integración de pruebas automatizadas en Azure DevOps.</w:t>
      </w:r>
    </w:p>
    <w:p>
      <w:pPr>
        <w:pStyle w:val="ListBullet"/>
      </w:pPr>
      <w:r>
        <w:t>Trabajo con Azure Test Plans para gestionar casos de prueba.</w:t>
      </w:r>
    </w:p>
    <w:p>
      <w:r/>
      <w:r>
        <w:rPr>
          <w:b/>
        </w:rPr>
        <w:t>Conclusión QA:</w:t>
      </w:r>
      <w:r>
        <w:t xml:space="preserve"> BDD facilita la descripción de comportamientos verificables y mejora la trazabilidad entre escenarios funcionales y automatización.</w:t>
      </w:r>
    </w:p>
    <w:p>
      <w:pPr>
        <w:pStyle w:val="Heading1"/>
      </w:pPr>
      <w:r>
        <w:t>6. Fase 4 — Pruebas en la nube con Sauce Labs</w:t>
      </w:r>
    </w:p>
    <w:p>
      <w:r>
        <w:t>Se integró Selenium con Sauce Labs para ejecutar pruebas remotas en un navegador Chrome sobre Windows 11.</w:t>
      </w:r>
    </w:p>
    <w:p>
      <w:r>
        <w:t>Se utilizó Sauce Connect para permitir la comunicación con la aplicación durante la ejecución desde Azure DevOps.</w:t>
      </w:r>
    </w:p>
    <w:p>
      <w:r/>
      <w:r>
        <w:rPr>
          <w:b/>
        </w:rPr>
        <w:t>Resultados:</w:t>
      </w:r>
      <w:r/>
    </w:p>
    <w:p>
      <w:pPr>
        <w:pStyle w:val="ListBullet"/>
      </w:pPr>
      <w:r>
        <w:t>Se identificaron y corrigieron problemas de configuración del túnel.</w:t>
      </w:r>
    </w:p>
    <w:p>
      <w:pPr>
        <w:pStyle w:val="ListBullet"/>
      </w:pPr>
      <w:r>
        <w:t>Las ejecuciones `#20261101.4` a `#20261101.8` registraron fallos.</w:t>
      </w:r>
    </w:p>
    <w:p>
      <w:pPr>
        <w:pStyle w:val="ListBullet"/>
      </w:pPr>
      <w:r>
        <w:t>La ejecución `#20261101.9` finalizó exitosamente.</w:t>
      </w:r>
    </w:p>
    <w:p>
      <w:pPr>
        <w:pStyle w:val="ListBullet"/>
      </w:pPr>
      <w:r>
        <w:t>Se confirmó una prueba aprobada en Sauce Labs.</w:t>
      </w:r>
    </w:p>
    <w:p>
      <w:pPr>
        <w:pStyle w:val="ListBullet"/>
      </w:pPr>
      <w:r>
        <w:t>El pipeline completó cinco etapas exitosas.</w:t>
      </w:r>
    </w:p>
    <w:p>
      <w:r/>
      <w:r>
        <w:rPr>
          <w:b/>
        </w:rPr>
        <w:t>Conclusión QA:</w:t>
      </w:r>
      <w:r>
        <w:t xml:space="preserve"> la ejecución remota amplía las posibilidades de validación y permite integrar pruebas de navegador en un entorno de CI.</w:t>
      </w:r>
    </w:p>
    <w:p>
      <w:pPr>
        <w:pStyle w:val="Heading1"/>
      </w:pPr>
      <w:r>
        <w:t>7. Fase 5 — Contenedores y Contract Testing</w:t>
      </w:r>
    </w:p>
    <w:p>
      <w:pPr>
        <w:pStyle w:val="Heading2"/>
      </w:pPr>
      <w:r>
        <w:t>7.1. Contenerización</w:t>
      </w:r>
    </w:p>
    <w:p>
      <w:r>
        <w:t>Se preparó un Dockerfile para ejecutar App Tienda en un contenedor mediante Podman.</w:t>
      </w:r>
    </w:p>
    <w:p>
      <w:r/>
      <w:r>
        <w:rPr>
          <w:b/>
        </w:rPr>
        <w:t>Validaciones realizadas:</w:t>
      </w:r>
      <w:r/>
    </w:p>
    <w:p>
      <w:pPr>
        <w:pStyle w:val="ListBullet"/>
      </w:pPr>
      <w:r>
        <w:t>Construcción exitosa de la imagen.</w:t>
      </w:r>
    </w:p>
    <w:p>
      <w:pPr>
        <w:pStyle w:val="ListBullet"/>
      </w:pPr>
      <w:r>
        <w:t>Ejecución del contenedor.</w:t>
      </w:r>
    </w:p>
    <w:p>
      <w:pPr>
        <w:pStyle w:val="ListBullet"/>
      </w:pPr>
      <w:r>
        <w:t>Estado saludable mediante HEALTHCHECK.</w:t>
      </w:r>
    </w:p>
    <w:p>
      <w:pPr>
        <w:pStyle w:val="ListBullet"/>
      </w:pPr>
      <w:r>
        <w:t>Respuesta satisfactoria del endpoint `/api/health`.</w:t>
      </w:r>
    </w:p>
    <w:p>
      <w:pPr>
        <w:pStyle w:val="ListBullet"/>
      </w:pPr>
      <w:r>
        <w:t>Consulta de 24 productos mediante `GET /api/productos`.</w:t>
      </w:r>
    </w:p>
    <w:p>
      <w:pPr>
        <w:pStyle w:val="Heading2"/>
      </w:pPr>
      <w:r>
        <w:t>7.2. Pruebas de contrato Pact</w:t>
      </w:r>
    </w:p>
    <w:p>
      <w:r>
        <w:t>Se implementaron pruebas de contrato utilizando Pact 17.1.4.</w:t>
      </w:r>
    </w:p>
    <w:p>
      <w:r/>
      <w:r>
        <w:rPr>
          <w:b/>
        </w:rPr>
        <w:t>Consumer Test:</w:t>
      </w:r>
      <w:r/>
    </w:p>
    <w:p>
      <w:pPr>
        <w:pStyle w:val="ListBullet"/>
      </w:pPr>
      <w:r>
        <w:t>Verificación de la estructura esperada de la respuesta del catálogo.</w:t>
      </w:r>
    </w:p>
    <w:p>
      <w:pPr>
        <w:pStyle w:val="ListBullet"/>
      </w:pPr>
      <w:r>
        <w:t>Generación del contrato `TiendaFrontend-TiendaAPI.json`.</w:t>
      </w:r>
    </w:p>
    <w:p>
      <w:pPr>
        <w:pStyle w:val="ListBullet"/>
      </w:pPr>
      <w:r>
        <w:t>Resultado: 1 prueba aprobada, 0 fallidas.</w:t>
      </w:r>
    </w:p>
    <w:p>
      <w:r/>
      <w:r>
        <w:rPr>
          <w:b/>
        </w:rPr>
        <w:t>Provider Verification:</w:t>
      </w:r>
      <w:r/>
    </w:p>
    <w:p>
      <w:pPr>
        <w:pStyle w:val="ListBullet"/>
      </w:pPr>
      <w:r>
        <w:t>Verificación del contrato contra la API real.</w:t>
      </w:r>
    </w:p>
    <w:p>
      <w:pPr>
        <w:pStyle w:val="ListBullet"/>
      </w:pPr>
      <w:r>
        <w:t>Validación del endpoint `GET /api/productos`.</w:t>
      </w:r>
    </w:p>
    <w:p>
      <w:pPr>
        <w:pStyle w:val="ListBullet"/>
      </w:pPr>
      <w:r>
        <w:t>Resultado: 1 prueba aprobada, 0 fallidas.</w:t>
      </w:r>
    </w:p>
    <w:p>
      <w:pPr>
        <w:pStyle w:val="Heading2"/>
      </w:pPr>
      <w:r>
        <w:t>7.3. Arquitectura</w:t>
      </w:r>
    </w:p>
    <w:p>
      <w:r>
        <w:t>Se documentó la comparación entre arquitectura monolítica y microservicios.</w:t>
      </w:r>
    </w:p>
    <w:p>
      <w:r>
        <w:t>Para el alcance actual se recomienda mantener una arquitectura monolítica contenerizada, conservando la posibilidad de evolucionar hacia servicios independientes.</w:t>
      </w:r>
    </w:p>
    <w:p>
      <w:pPr>
        <w:pStyle w:val="Heading2"/>
      </w:pPr>
      <w:r>
        <w:t>7.4. Actividad pendiente</w:t>
      </w:r>
    </w:p>
    <w:p>
      <w:r>
        <w:t>La publicación de la imagen en Azure Container Registry (ACR) quedó pendiente debido a las condiciones de la suscripción y la necesidad de evitar costos no previstos.</w:t>
      </w:r>
    </w:p>
    <w:p>
      <w:r/>
      <w:r>
        <w:rPr>
          <w:b/>
        </w:rPr>
        <w:t>Conclusión QA:</w:t>
      </w:r>
      <w:r>
        <w:t xml:space="preserve"> la contenerización facilita la reproducibilidad del entorno y las pruebas Pact permiten detectar incompatibilidades entre consumidores y proveedores.</w:t>
      </w:r>
    </w:p>
    <w:p>
      <w:pPr>
        <w:pStyle w:val="Heading1"/>
      </w:pPr>
      <w:r>
        <w:t>8. Fase 6 — Análisis de calidad</w:t>
      </w:r>
    </w:p>
    <w:p>
      <w:pPr>
        <w:pStyle w:val="Heading2"/>
      </w:pPr>
      <w:r>
        <w:t>8.1. Métricas DORA</w:t>
      </w:r>
    </w:p>
    <w:p>
      <w:r>
        <w:t>Se analizaron las cuatro métricas DORA:</w:t>
      </w:r>
    </w:p>
    <w:p>
      <w:pPr>
        <w:pStyle w:val="ListBullet"/>
      </w:pPr>
      <w:r>
        <w:t>Deployment Frequency.</w:t>
      </w:r>
    </w:p>
    <w:p>
      <w:pPr>
        <w:pStyle w:val="ListBullet"/>
      </w:pPr>
      <w:r>
        <w:t>Lead Time for Changes.</w:t>
      </w:r>
    </w:p>
    <w:p>
      <w:pPr>
        <w:pStyle w:val="ListBullet"/>
      </w:pPr>
      <w:r>
        <w:t>Change Failure Rate.</w:t>
      </w:r>
    </w:p>
    <w:p>
      <w:pPr>
        <w:pStyle w:val="ListBullet"/>
      </w:pPr>
      <w:r>
        <w:t>Time to Restore Service.</w:t>
      </w:r>
    </w:p>
    <w:p>
      <w:r>
        <w:t>No se asignaron valores numéricos a estas métricas debido a la ausencia de registros suficientes de despliegues e incidentes en producción.</w:t>
      </w:r>
    </w:p>
    <w:p>
      <w:r>
        <w:t>Como indicadores complementarios, se analizaron 11 ejecuciones del pipeline: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Indicador</w:t>
            </w:r>
          </w:p>
        </w:tc>
        <w:tc>
          <w:tcPr>
            <w:tcW w:type="dxa" w:w="4896"/>
          </w:tcPr>
          <w:p>
            <w:r>
              <w:t>Resultado</w:t>
            </w:r>
          </w:p>
        </w:tc>
      </w:tr>
      <w:tr>
        <w:tc>
          <w:tcPr>
            <w:tcW w:type="dxa" w:w="4896"/>
          </w:tcPr>
          <w:p>
            <w:r>
              <w:t>Ejecuciones analizadas</w:t>
            </w:r>
          </w:p>
        </w:tc>
        <w:tc>
          <w:tcPr>
            <w:tcW w:type="dxa" w:w="4896"/>
          </w:tcPr>
          <w:p>
            <w:r>
              <w:t>11</w:t>
            </w:r>
          </w:p>
        </w:tc>
      </w:tr>
      <w:tr>
        <w:tc>
          <w:tcPr>
            <w:tcW w:type="dxa" w:w="4896"/>
          </w:tcPr>
          <w:p>
            <w:r>
              <w:t>Exitosas</w:t>
            </w:r>
          </w:p>
        </w:tc>
        <w:tc>
          <w:tcPr>
            <w:tcW w:type="dxa" w:w="4896"/>
          </w:tcPr>
          <w:p>
            <w:r>
              <w:t>6</w:t>
            </w:r>
          </w:p>
        </w:tc>
      </w:tr>
      <w:tr>
        <w:tc>
          <w:tcPr>
            <w:tcW w:type="dxa" w:w="4896"/>
          </w:tcPr>
          <w:p>
            <w:r>
              <w:t>Fallidas</w:t>
            </w:r>
          </w:p>
        </w:tc>
        <w:tc>
          <w:tcPr>
            <w:tcW w:type="dxa" w:w="4896"/>
          </w:tcPr>
          <w:p>
            <w:r>
              <w:t>5</w:t>
            </w:r>
          </w:p>
        </w:tc>
      </w:tr>
      <w:tr>
        <w:tc>
          <w:tcPr>
            <w:tcW w:type="dxa" w:w="4896"/>
          </w:tcPr>
          <w:p>
            <w:r>
              <w:t>Tasa de éxito de CI</w:t>
            </w:r>
          </w:p>
        </w:tc>
        <w:tc>
          <w:tcPr>
            <w:tcW w:type="dxa" w:w="4896"/>
          </w:tcPr>
          <w:p>
            <w:r>
              <w:t>54,5 %</w:t>
            </w:r>
          </w:p>
        </w:tc>
      </w:tr>
      <w:tr>
        <w:tc>
          <w:tcPr>
            <w:tcW w:type="dxa" w:w="4896"/>
          </w:tcPr>
          <w:p>
            <w:r>
              <w:t>Tasa de fallo de CI</w:t>
            </w:r>
          </w:p>
        </w:tc>
        <w:tc>
          <w:tcPr>
            <w:tcW w:type="dxa" w:w="4896"/>
          </w:tcPr>
          <w:p>
            <w:r>
              <w:t>45,5 %</w:t>
            </w:r>
          </w:p>
        </w:tc>
      </w:tr>
    </w:tbl>
    <w:p/>
    <w:p>
      <w:r>
        <w:t>Estos porcentajes corresponden al pipeline y no deben confundirse con las métricas DORA de despliegue.</w:t>
      </w:r>
    </w:p>
    <w:p>
      <w:pPr>
        <w:pStyle w:val="Heading2"/>
      </w:pPr>
      <w:r>
        <w:t>8.2. Pirámide de pruebas</w:t>
      </w:r>
    </w:p>
    <w:p>
      <w:r>
        <w:t>Se identificaron los siguientes niveles:</w:t>
      </w:r>
    </w:p>
    <w:p>
      <w:pPr>
        <w:pStyle w:val="ListBullet"/>
      </w:pPr>
      <w:r/>
      <w:r>
        <w:rPr>
          <w:b/>
        </w:rPr>
        <w:t>Unitarias:</w:t>
      </w:r>
      <w:r>
        <w:t xml:space="preserve"> cobertura por fortalecer.</w:t>
      </w:r>
    </w:p>
    <w:p>
      <w:pPr>
        <w:pStyle w:val="ListBullet"/>
      </w:pPr>
      <w:r/>
      <w:r>
        <w:rPr>
          <w:b/>
        </w:rPr>
        <w:t>API e integración:</w:t>
      </w:r>
      <w:r>
        <w:t xml:space="preserve"> smoke tests, healthcheck y Pact.</w:t>
      </w:r>
    </w:p>
    <w:p>
      <w:pPr>
        <w:pStyle w:val="ListBullet"/>
      </w:pPr>
      <w:r/>
      <w:r>
        <w:rPr>
          <w:b/>
        </w:rPr>
        <w:t>E2E/UI:</w:t>
      </w:r>
      <w:r>
        <w:t xml:space="preserve"> Playwright, pytest-bdd, Selenium y Sauce Labs.</w:t>
      </w:r>
    </w:p>
    <w:p>
      <w:r>
        <w:t>Se recomienda fortalecer las pruebas unitarias para reducir la dependencia de las pruebas E2E.</w:t>
      </w:r>
    </w:p>
    <w:p>
      <w:pPr>
        <w:pStyle w:val="Heading2"/>
      </w:pPr>
      <w:r>
        <w:t>8.3. Análisis de riesgos</w:t>
      </w:r>
    </w:p>
    <w:p>
      <w:r>
        <w:t>Se elaboró una matriz de riesgos que considera:</w:t>
      </w:r>
    </w:p>
    <w:p>
      <w:pPr>
        <w:pStyle w:val="ListBullet"/>
      </w:pPr>
      <w:r>
        <w:t>Fallos de Sauce Connect.</w:t>
      </w:r>
    </w:p>
    <w:p>
      <w:pPr>
        <w:pStyle w:val="ListBullet"/>
      </w:pPr>
      <w:r>
        <w:t>Incompatibilidades de API.</w:t>
      </w:r>
    </w:p>
    <w:p>
      <w:pPr>
        <w:pStyle w:val="ListBullet"/>
      </w:pPr>
      <w:r>
        <w:t>Indisponibilidad de contenedores.</w:t>
      </w:r>
    </w:p>
    <w:p>
      <w:pPr>
        <w:pStyle w:val="ListBullet"/>
      </w:pPr>
      <w:r>
        <w:t>Inestabilidad de pruebas E2E.</w:t>
      </w:r>
    </w:p>
    <w:p>
      <w:pPr>
        <w:pStyle w:val="ListBullet"/>
      </w:pPr>
      <w:r>
        <w:t>Cobertura unitaria insuficiente.</w:t>
      </w:r>
    </w:p>
    <w:p>
      <w:pPr>
        <w:pStyle w:val="ListBullet"/>
      </w:pPr>
      <w:r>
        <w:t>Costos de infraestructura.</w:t>
      </w:r>
    </w:p>
    <w:p>
      <w:pPr>
        <w:pStyle w:val="ListBullet"/>
      </w:pPr>
      <w:r>
        <w:t>Vulnerabilidades en dependencias.</w:t>
      </w:r>
    </w:p>
    <w:p>
      <w:pPr>
        <w:pStyle w:val="ListBullet"/>
      </w:pPr>
      <w:r>
        <w:t>Pérdida de evidencias.</w:t>
      </w:r>
    </w:p>
    <w:p>
      <w:r>
        <w:t>Se documentaron acciones de mitigación y controles implementados.</w:t>
      </w:r>
    </w:p>
    <w:p>
      <w:pPr>
        <w:pStyle w:val="Heading1"/>
      </w:pPr>
      <w:r>
        <w:t>9. Resultados generales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Fase</w:t>
            </w:r>
          </w:p>
        </w:tc>
        <w:tc>
          <w:tcPr>
            <w:tcW w:type="dxa" w:w="3264"/>
          </w:tcPr>
          <w:p>
            <w:r>
              <w:t>Actividad principal</w:t>
            </w:r>
          </w:p>
        </w:tc>
        <w:tc>
          <w:tcPr>
            <w:tcW w:type="dxa" w:w="3264"/>
          </w:tcPr>
          <w:p>
            <w:r>
              <w:t>Resultado</w:t>
            </w:r>
          </w:p>
        </w:tc>
      </w:tr>
      <w:tr>
        <w:tc>
          <w:tcPr>
            <w:tcW w:type="dxa" w:w="3264"/>
          </w:tcPr>
          <w:p>
            <w:r>
              <w:t>1</w:t>
            </w:r>
          </w:p>
        </w:tc>
        <w:tc>
          <w:tcPr>
            <w:tcW w:type="dxa" w:w="3264"/>
          </w:tcPr>
          <w:p>
            <w:r>
              <w:t>Datos sintéticos con Faker</w:t>
            </w:r>
          </w:p>
        </w:tc>
        <w:tc>
          <w:tcPr>
            <w:tcW w:type="dxa" w:w="3264"/>
          </w:tcPr>
          <w:p>
            <w:r>
              <w:t>Completada</w:t>
            </w:r>
          </w:p>
        </w:tc>
      </w:tr>
      <w:tr>
        <w:tc>
          <w:tcPr>
            <w:tcW w:type="dxa" w:w="3264"/>
          </w:tcPr>
          <w:p>
            <w:r>
              <w:t>2</w:t>
            </w:r>
          </w:p>
        </w:tc>
        <w:tc>
          <w:tcPr>
            <w:tcW w:type="dxa" w:w="3264"/>
          </w:tcPr>
          <w:p>
            <w:r>
              <w:t>Pipeline de Azure DevOps</w:t>
            </w:r>
          </w:p>
        </w:tc>
        <w:tc>
          <w:tcPr>
            <w:tcW w:type="dxa" w:w="3264"/>
          </w:tcPr>
          <w:p>
            <w:r>
              <w:t>Completada</w:t>
            </w:r>
          </w:p>
        </w:tc>
      </w:tr>
      <w:tr>
        <w:tc>
          <w:tcPr>
            <w:tcW w:type="dxa" w:w="3264"/>
          </w:tcPr>
          <w:p>
            <w:r>
              <w:t>3</w:t>
            </w:r>
          </w:p>
        </w:tc>
        <w:tc>
          <w:tcPr>
            <w:tcW w:type="dxa" w:w="3264"/>
          </w:tcPr>
          <w:p>
            <w:r>
              <w:t>BDD, Screenplay y Test Plans</w:t>
            </w:r>
          </w:p>
        </w:tc>
        <w:tc>
          <w:tcPr>
            <w:tcW w:type="dxa" w:w="3264"/>
          </w:tcPr>
          <w:p>
            <w:r>
              <w:t>Completada</w:t>
            </w:r>
          </w:p>
        </w:tc>
      </w:tr>
      <w:tr>
        <w:tc>
          <w:tcPr>
            <w:tcW w:type="dxa" w:w="3264"/>
          </w:tcPr>
          <w:p>
            <w:r>
              <w:t>4</w:t>
            </w:r>
          </w:p>
        </w:tc>
        <w:tc>
          <w:tcPr>
            <w:tcW w:type="dxa" w:w="3264"/>
          </w:tcPr>
          <w:p>
            <w:r>
              <w:t>Sauce Labs y Selenium</w:t>
            </w:r>
          </w:p>
        </w:tc>
        <w:tc>
          <w:tcPr>
            <w:tcW w:type="dxa" w:w="3264"/>
          </w:tcPr>
          <w:p>
            <w:r>
              <w:t>Completada</w:t>
            </w:r>
          </w:p>
        </w:tc>
      </w:tr>
      <w:tr>
        <w:tc>
          <w:tcPr>
            <w:tcW w:type="dxa" w:w="3264"/>
          </w:tcPr>
          <w:p>
            <w:r>
              <w:t>5</w:t>
            </w:r>
          </w:p>
        </w:tc>
        <w:tc>
          <w:tcPr>
            <w:tcW w:type="dxa" w:w="3264"/>
          </w:tcPr>
          <w:p>
            <w:r>
              <w:t>Podman y Pact</w:t>
            </w:r>
          </w:p>
        </w:tc>
        <w:tc>
          <w:tcPr>
            <w:tcW w:type="dxa" w:w="3264"/>
          </w:tcPr>
          <w:p>
            <w:r>
              <w:t>Validaciones completadas; ACR pendiente</w:t>
            </w:r>
          </w:p>
        </w:tc>
      </w:tr>
      <w:tr>
        <w:tc>
          <w:tcPr>
            <w:tcW w:type="dxa" w:w="3264"/>
          </w:tcPr>
          <w:p>
            <w:r>
              <w:t>6</w:t>
            </w:r>
          </w:p>
        </w:tc>
        <w:tc>
          <w:tcPr>
            <w:tcW w:type="dxa" w:w="3264"/>
          </w:tcPr>
          <w:p>
            <w:r>
              <w:t>DORA, pirámide y riesgos</w:t>
            </w:r>
          </w:p>
        </w:tc>
        <w:tc>
          <w:tcPr>
            <w:tcW w:type="dxa" w:w="3264"/>
          </w:tcPr>
          <w:p>
            <w:r>
              <w:t>Análisis documentados</w:t>
            </w:r>
          </w:p>
        </w:tc>
      </w:tr>
    </w:tbl>
    <w:p/>
    <w:p>
      <w:pPr>
        <w:pStyle w:val="Heading1"/>
      </w:pPr>
      <w:r>
        <w:t>10. Evidencias del proyecto</w:t>
      </w:r>
    </w:p>
    <w:p>
      <w:r>
        <w:t>Las evidencias se encuentran organizadas en el directorio `RetoFinal/evidencias/`, por fase.</w:t>
      </w:r>
    </w:p>
    <w:p>
      <w:r>
        <w:t>Entre las principales evidencias se incluyen:</w:t>
      </w:r>
    </w:p>
    <w:p>
      <w:pPr>
        <w:pStyle w:val="ListBullet"/>
      </w:pPr>
      <w:r>
        <w:t>Resultados de pipelines en Azure DevOps.</w:t>
      </w:r>
    </w:p>
    <w:p>
      <w:pPr>
        <w:pStyle w:val="ListBullet"/>
      </w:pPr>
      <w:r>
        <w:t>Ejecuciones BDD/E2E.</w:t>
      </w:r>
    </w:p>
    <w:p>
      <w:pPr>
        <w:pStyle w:val="ListBullet"/>
      </w:pPr>
      <w:r>
        <w:t>Pruebas remotas de Sauce Labs.</w:t>
      </w:r>
    </w:p>
    <w:p>
      <w:pPr>
        <w:pStyle w:val="ListBullet"/>
      </w:pPr>
      <w:r>
        <w:t>Construcción y ejecución del contenedor Podman.</w:t>
      </w:r>
    </w:p>
    <w:p>
      <w:pPr>
        <w:pStyle w:val="ListBullet"/>
      </w:pPr>
      <w:r>
        <w:t>Respuesta de los endpoints de la aplicación.</w:t>
      </w:r>
    </w:p>
    <w:p>
      <w:pPr>
        <w:pStyle w:val="ListBullet"/>
      </w:pPr>
      <w:r>
        <w:t>Pruebas Pact Consumer y Provider aprobadas.</w:t>
      </w:r>
    </w:p>
    <w:p>
      <w:pPr>
        <w:pStyle w:val="ListBullet"/>
      </w:pPr>
      <w:r>
        <w:t>Publicación de cambios en GitHub.</w:t>
      </w:r>
    </w:p>
    <w:p>
      <w:pPr>
        <w:pStyle w:val="ListBullet"/>
      </w:pPr>
      <w:r>
        <w:t>Historial de ejecuciones utilizado para el análisis DORA.</w:t>
      </w:r>
    </w:p>
    <w:p>
      <w:pPr>
        <w:pStyle w:val="Heading1"/>
      </w:pPr>
      <w:r>
        <w:t>11. Recomendaciones de mejora</w:t>
      </w:r>
    </w:p>
    <w:p>
      <w:pPr>
        <w:pStyle w:val="ListNumber"/>
      </w:pPr>
      <w:r>
        <w:t>Fortalecer la cobertura de pruebas unitarias.</w:t>
      </w:r>
    </w:p>
    <w:p>
      <w:pPr>
        <w:pStyle w:val="ListNumber"/>
      </w:pPr>
      <w:r>
        <w:t>Mantener las pruebas de contrato ante cambios en la API.</w:t>
      </w:r>
    </w:p>
    <w:p>
      <w:pPr>
        <w:pStyle w:val="ListNumber"/>
      </w:pPr>
      <w:r>
        <w:t>Revisar las vulnerabilidades de dependencias reportadas durante la construcción del contenedor.</w:t>
      </w:r>
    </w:p>
    <w:p>
      <w:pPr>
        <w:pStyle w:val="ListNumber"/>
      </w:pPr>
      <w:r>
        <w:t>Implementar un registro de despliegues e incidentes para medir DORA.</w:t>
      </w:r>
    </w:p>
    <w:p>
      <w:pPr>
        <w:pStyle w:val="ListNumber"/>
      </w:pPr>
      <w:r>
        <w:t>Incorporar controles de estabilidad y disponibilidad de los entornos de prueba.</w:t>
      </w:r>
    </w:p>
    <w:p>
      <w:pPr>
        <w:pStyle w:val="ListNumber"/>
      </w:pPr>
      <w:r>
        <w:t>Evaluar la publicación en ACR cuando exista autorización y presupuesto.</w:t>
      </w:r>
    </w:p>
    <w:p>
      <w:pPr>
        <w:pStyle w:val="ListNumber"/>
      </w:pPr>
      <w:r>
        <w:t>Mantener las evidencias actualizadas y versionadas.</w:t>
      </w:r>
    </w:p>
    <w:p>
      <w:pPr>
        <w:pStyle w:val="Heading1"/>
      </w:pPr>
      <w:r>
        <w:t>12. Conclusión técnica desde QA</w:t>
      </w:r>
    </w:p>
    <w:p>
      <w:r>
        <w:t>El Reto Práctico del Módulo 5 permitió integrar diferentes herramientas y estrategias de automatización dentro de un flujo de aseguramiento de calidad Cloud-Native.</w:t>
      </w:r>
    </w:p>
    <w:p>
      <w:r>
        <w:t>La combinación de pruebas funcionales, BDD, validaciones de API, ejecución remota, contenerización y pruebas de contrato permitió comprobar diferentes aspectos de la aplicación y detectar problemas de configuración durante la integración continua.</w:t>
      </w:r>
    </w:p>
    <w:p>
      <w:r>
        <w:t>Los resultados obtenidos demuestran la importancia de automatizar los controles de calidad, mantener trazabilidad de las evidencias y validar los cambios antes de su entrega.</w:t>
      </w:r>
    </w:p>
    <w:p>
      <w:r>
        <w:t>Como oportunidades de mejora permanecen el fortalecimiento de las pruebas unitarias, la revisión de dependencias y la implementación de mediciones DORA basadas en despliegues reales.</w:t>
      </w:r>
    </w:p>
    <w:p>
      <w:r>
        <w:t>Desde QA, el principal aprendizaje es que la automatización no consiste únicamente en ejecutar pruebas, sino en construir un proceso reproducible, medible y sustentado en evidencias que contribuya a prevenir defectos y mejorar la confiabilidad del software.</w:t>
      </w:r>
    </w:p>
    <w:p>
      <w:r>
        <w:br w:type="page"/>
      </w:r>
    </w:p>
    <w:p>
      <w:pPr>
        <w:pStyle w:val="Title"/>
      </w:pPr>
      <w:r>
        <w:t>Anexo — Evidencias visuales</w:t>
      </w:r>
    </w:p>
    <w:p>
      <w:r>
        <w:t>Capturas seleccionadas del repositorio, agrupadas por fase. Las demás evidencias permanecen en las carpetas originales.</w:t>
      </w:r>
    </w:p>
    <w:p>
      <w:pPr>
        <w:pStyle w:val="Heading1"/>
      </w:pPr>
      <w:r>
        <w:t>Fase 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61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61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8"/>
        </w:rPr>
        <w:t>Reproducibilidad de datos sintéticos</w:t>
      </w:r>
    </w:p>
    <w:p>
      <w:pPr>
        <w:pStyle w:val="Heading1"/>
      </w:pPr>
      <w:r>
        <w:t>Fase 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4197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9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8"/>
        </w:rPr>
        <w:t>Pipeline de Azure DevOps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864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64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8"/>
        </w:rPr>
        <w:t>Quality Gate aprobado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1225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2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8"/>
        </w:rPr>
        <w:t>Quality Gate detectando fallos</w:t>
      </w:r>
    </w:p>
    <w:p>
      <w:pPr>
        <w:pStyle w:val="Heading1"/>
      </w:pPr>
      <w:r>
        <w:t>Fase 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9544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54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8"/>
        </w:rPr>
        <w:t>Cinco pruebas aprobadas en JUnit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6393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39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8"/>
        </w:rPr>
        <w:t>Casos de prueba en Azure Test Plans</w:t>
      </w:r>
    </w:p>
    <w:p>
      <w:pPr>
        <w:pStyle w:val="Heading1"/>
      </w:pPr>
      <w:r>
        <w:t>Fase 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3110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11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8"/>
        </w:rPr>
        <w:t>Cinco etapas aprobadas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6522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52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8"/>
        </w:rPr>
        <w:t>Prueba aprobada en Sauce Labs</w:t>
      </w:r>
    </w:p>
    <w:p>
      <w:pPr>
        <w:pStyle w:val="Heading1"/>
      </w:pPr>
      <w:r>
        <w:t>Fase 5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0197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19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8"/>
        </w:rPr>
        <w:t>Contenedor saludable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762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6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8"/>
        </w:rPr>
        <w:t>Pact Consumer aprobado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1768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8"/>
        </w:rPr>
        <w:t>Pact Provider aprobado</w:t>
      </w:r>
    </w:p>
    <w:p>
      <w:pPr>
        <w:pStyle w:val="Heading1"/>
      </w:pPr>
      <w:r>
        <w:t>Fase 6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015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1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8"/>
        </w:rPr>
        <w:t>Historial del pipeline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5064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0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8"/>
        </w:rPr>
        <w:t>Resultados del pipeline en fase 4</w:t>
      </w:r>
    </w:p>
    <w:sectPr w:rsidR="00FC693F" w:rsidRPr="0006063C" w:rsidSect="00034616"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0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0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406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