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Vivian Zhang</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 Spencer</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4/5/26</w:t>
        <w:br w:type="textWrapping"/>
        <w:tab/>
        <w:tab/>
        <w:tab/>
        <w:tab/>
        <w:tab/>
        <w:t xml:space="preserve">5-2 Milestone</w:t>
        <w:br w:type="textWrapping"/>
        <w:br w:type="textWrapping"/>
        <w:tab/>
        <w:t xml:space="preserve">For the database artifact I decided on using Supabase. I chose to include this in my ePortfolio because it demonstrates a high level of full-stack proficiency, specifically showcasing my ability to handle complex real-time data synchronization and high-frequency database updates. The project highlights my skills in optimizing data structures, specifically moving from bulky objects to a 1D array format and implementing secure postgres row level security (RLS) to manage multi-user access. I significantly improved the artifact by refactoring the save logic from a snapshot method to an append-only system, which solved the critical issue of users accidentally deleting each other's progress. I successfully met the course outcomes defined in Module One by mastering Supabase Presence for state syncing and real-time database listeners, and my original plan for outcome coverage remains solid with no major updates needed. Through this process, I learned the importance of choosing the right data architecture for performance and the nuances of WebSocket-based collaboration. The biggest challenge was ensuring that new users joining in private sessions could instantly see the expanded canvas state, which taught me how to effectively bridge the gap between persistent database storage and live memory.</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