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Requirements Table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Problem Statement #45: Multi-Cloud Asset Cost Optimization Portal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Target Stakeholders / Actors: FinOps Analyst, Cloud Administrator, Finance Manager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600"/>
        <w:gridCol w:w="1000"/>
        <w:gridCol w:w="3300"/>
        <w:gridCol w:w="2020"/>
        <w:gridCol w:w="10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ingest cloud billing CSV exports from AWS, Azure, and GCP, categorize costs by service and project tag, and highlight compute instances with &lt; 5% CPU utilization over 14 days.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Pass: Idle cloud asset flagged with monthly savings estimate. Fail: Active instance misclassified as idle.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Given requirement from problem statement; core value proposition of the portal.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detect unattached (orphaned) storage volumes across AWS, Azure, and GCP and calculate the estimated monthly savings if each volume is deleted.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Pass: A storage volume with no attached compute instance for 7+ days is listed with its size, provider, and projected monthly savings. Fail: An attached volume appears in the unattached list.</w:t>
            </w:r>
          </w:p>
        </w:tc>
        <w:tc>
          <w:tcPr>
            <w:tcW w:type="dxa" w:w="2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Unattached storage is one of the most common sources of avoidable cloud waste and a stated system function.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allow a FinOps Analyst to configure a custom monthly budget threshold for a given cloud project or tag.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Pass: When a threshold is saved, it is displayed against the correct project/tag and persists after page refresh. Fail: Threshold does not save or applies to the wrong project.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Budget thresholds are required before breach alerts can be evaluated.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automatically dispatch a budget breach alert (email and in-app notification) to the responsible Cloud Administrator when actual spend exceeds 90% of the configured budget threshold.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Pass: Alert is received within 5 minutes of spend crossing 90% of threshold. Fail: No alert sent, or alert sent below the 90% mark.</w:t>
            </w:r>
          </w:p>
        </w:tc>
        <w:tc>
          <w:tcPr>
            <w:tcW w:type="dxa" w:w="2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Directly supports the stated goal of "dispatching budget breach alerts."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display an interactive cost dashboard summarizing spend by cloud provider, service, and project tag, refreshed within 2 minutes of new billing data being ingested.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Pass: Dashboard totals match the sum of ingested line items and update within 2 minutes of a new CSV upload. Fail: Dashboard is stale beyond 2 minutes or totals do not reconcile.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Gives FinOps Analysts and Cloud Administrators a single view for decision-making.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portal must parse multi-gigabyte cloud billing files and update cost dashboards in under 2 minutes, while enforcing secure handling of billing data.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Given requirement from problem statement; ensures usability at enterprise billing-file scale.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Nonfunctional (Security)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portal shall encrypt all billing data at rest (AES-256) and in transit (TLS 1.2+), and restrict dashboard and configuration access using role-based authentication (FinOps Analyst vs. Cloud Administrator roles).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Pass: A penetration test / config scan confirms encryption is applied and a user without the Cloud Administrator role cannot access budget-configuration screens. Fail: Data found unencrypted or role restriction can be bypassed.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Billing data is sensitive financial data spanning three cloud providers, so confidentiality and access control are essential.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r>
        <w:rPr>
          <w:i/>
          <w:iCs/>
          <w:sz w:val="18"/>
          <w:szCs w:val="18"/>
        </w:rPr>
        <w:t xml:space="preserve">Note: FR-001 and NFR-001 are the requirements given in the problem statement handout; FR-002–FR-005 and NFR-002 were authored to complete the required set of exactly five FRs and two NFRs.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2026-09-27T13:53:45.596Z</dcterms:created>
  <dcterms:modified xsi:type="dcterms:W3CDTF">2026-09-27T13:53:45.596Z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