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Lab 1 — Use-Case Flow</w:t>
      </w:r>
    </w:p>
    <w:p>
      <w:pPr>
        <w:spacing w:after="140"/>
      </w:pPr>
      <w:r>
        <w:rPr>
          <w:b/>
          <w:bCs/>
          <w:i w:val="false"/>
          <w:iCs w:val="false"/>
          <w:sz w:val="24"/>
          <w:szCs w:val="24"/>
        </w:rPr>
        <w:t xml:space="preserve">Use Case: Ingest Billing CSV &amp; Detect Idle / Unattached Assets</w:t>
      </w:r>
    </w:p>
    <w:p>
      <w:pPr>
        <w:spacing w:after="220"/>
      </w:pPr>
      <w:r>
        <w:rPr>
          <w:b w:val="false"/>
          <w:bCs w:val="false"/>
          <w:i/>
          <w:iCs/>
          <w:sz w:val="21"/>
          <w:szCs w:val="21"/>
        </w:rPr>
        <w:t xml:space="preserve">Problem Statement #45 — Multi-Cloud Asset Cost Optimization Portal</w:t>
      </w:r>
    </w:p>
    <w:p>
      <w:pPr>
        <w:spacing w:after="40"/>
      </w:pPr>
      <w:r>
        <w:rPr>
          <w:b/>
          <w:bCs/>
          <w:i w:val="false"/>
          <w:iCs w:val="false"/>
          <w:sz w:val="21"/>
          <w:szCs w:val="21"/>
        </w:rPr>
        <w:t xml:space="preserve">Primary Actor: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Cloud Administrator</w:t>
      </w:r>
    </w:p>
    <w:p>
      <w:pPr>
        <w:spacing w:after="40"/>
      </w:pPr>
      <w:r>
        <w:rPr>
          <w:b/>
          <w:bCs/>
          <w:i w:val="false"/>
          <w:iCs w:val="false"/>
          <w:sz w:val="21"/>
          <w:szCs w:val="21"/>
        </w:rPr>
        <w:t xml:space="preserve">Preconditions: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1"/>
          <w:szCs w:val="21"/>
        </w:rPr>
        <w:t xml:space="preserve">The Cloud Administrator is authenticated and has permission to upload billing files.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1"/>
          <w:szCs w:val="21"/>
        </w:rPr>
        <w:t xml:space="preserve">Valid billing export files (CSV) are available from AWS, Azure, and/or GCP covering the reporting period.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40"/>
      </w:pPr>
      <w:r>
        <w:rPr>
          <w:b/>
          <w:bCs/>
          <w:i w:val="false"/>
          <w:iCs w:val="false"/>
          <w:sz w:val="21"/>
          <w:szCs w:val="21"/>
        </w:rPr>
        <w:t xml:space="preserve">Postconditions: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1"/>
          <w:szCs w:val="21"/>
        </w:rPr>
        <w:t xml:space="preserve">Ingested costs are categorized by service and project tag and stored in the portal's cost database.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1"/>
          <w:szCs w:val="21"/>
        </w:rPr>
        <w:t xml:space="preserve">Idle compute instances (&lt; 5% CPU over 14 days) and unattached storage volumes are flagged with estimated monthly savings.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1"/>
          <w:szCs w:val="21"/>
        </w:rPr>
        <w:t xml:space="preserve">The cost dashboard reflects the newly ingested data within 2 minutes.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Main Success Scenario: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Cloud Administrator selects “Upload Billing File” and chooses the cloud provider (AWS, Azure, or GCP).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displays a file-upload form and the Cloud Administrator selects the CSV export from their machine.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validates the file format and required columns (service, project tag, cost, resource ID, utilization).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ingests the CSV and categorizes each line item by service and project tag. [includes “Categorize Costs by Service &amp; Tag”]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scans compute instances in the file and flags any instance with &lt; 5% average CPU utilization over the trailing 14 days as idle.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scans storage volumes in the file and flags any volume with no attachment record for 7+ days as unattached.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calculates the estimated monthly savings for each flagged idle instance and unattached volume.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System updates the cost dashboard and displays a confirmation summary (rows ingested, assets flagged, total potential savings).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21"/>
          <w:szCs w:val="21"/>
        </w:rPr>
        <w:t xml:space="preserve">Use case ends successfully.</w:t>
      </w:r>
    </w:p>
    <w:p>
      <w:pPr>
        <w:spacing w:after="10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/>
      </w:r>
    </w:p>
    <w:p>
      <w:pPr>
        <w:spacing w:after="60"/>
      </w:pPr>
      <w:r>
        <w:rPr>
          <w:b/>
          <w:bCs/>
          <w:i w:val="false"/>
          <w:iCs w:val="false"/>
          <w:sz w:val="21"/>
          <w:szCs w:val="21"/>
        </w:rPr>
        <w:t xml:space="preserve">Alternate Flow — 3a. Invalid File Format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3a1. System detects a missing required column or an unreadable file structure.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3a2. System displays an error message identifying the missing/invalid column(s) and rejects the ingestion.</w:t>
      </w:r>
    </w:p>
    <w:p>
      <w:pPr>
        <w:spacing w:after="8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3a3. Cloud Administrator corrects the file and re-attempts the upload (return to step 2). If the same error occurs twice, the upload is cancelled and the Cloud Administrator is advised to contact support.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2026-09-27T13:54:02.876Z</dcterms:created>
  <dcterms:modified xsi:type="dcterms:W3CDTF">2026-09-27T13:54:02.876Z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