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e8c97d25b103704dc231f0493c9276253e508e"/>
    <w:p>
      <w:pPr>
        <w:pStyle w:val="Heading1"/>
      </w:pPr>
      <w:r>
        <w:t xml:space="preserve">VizBiz Intake Engine — One-Page Reviewer Brief</w:t>
      </w:r>
    </w:p>
    <w:p>
      <w:pPr>
        <w:pStyle w:val="FirstParagraph"/>
      </w:pPr>
      <w:r>
        <w:t xml:space="preserve">Last verified: 2026-06-09</w:t>
      </w:r>
      <w:r>
        <w:br/>
      </w:r>
      <w:r>
        <w:t xml:space="preserve">Purpose: outside technical/product review of the current free-intake → free-report pipeline.</w:t>
      </w:r>
    </w:p>
    <w:bookmarkStart w:id="9" w:name="what-vizbiz-is-trying-to-do"/>
    <w:p>
      <w:pPr>
        <w:pStyle w:val="Heading2"/>
      </w:pPr>
      <w:r>
        <w:t xml:space="preserve">What VizBiz is trying to do</w:t>
      </w:r>
    </w:p>
    <w:p>
      <w:pPr>
        <w:pStyle w:val="FirstParagraph"/>
      </w:pPr>
      <w:r>
        <w:t xml:space="preserve">VizBiz helps local businesses understand whether AI/search systems can identify, trust, and recommend them. The free intake engine takes a business website, location, primary service/niche, and up to two competitors, then creates an evidence-based AI visibility snapshot. The goal is not generic SEO; it is AI recommendation readiness for local businesses.</w:t>
      </w:r>
    </w:p>
    <w:bookmarkEnd w:id="9"/>
    <w:bookmarkStart w:id="10" w:name="current-pipeline-flow"/>
    <w:p>
      <w:pPr>
        <w:pStyle w:val="Heading2"/>
      </w:pPr>
      <w:r>
        <w:t xml:space="preserve">Current pipeline flow</w:t>
      </w:r>
    </w:p>
    <w:p>
      <w:pPr>
        <w:pStyle w:val="SourceCode"/>
      </w:pPr>
      <w:r>
        <w:rPr>
          <w:rStyle w:val="NormalTok"/>
        </w:rPr>
        <w:t xml:space="preserve">Homepage form</w:t>
      </w:r>
      <w:r>
        <w:br/>
      </w:r>
      <w:r>
        <w:rPr>
          <w:rStyle w:val="NormalTok"/>
        </w:rPr>
        <w:t xml:space="preserve">→ /api/pipeline/intake</w:t>
      </w:r>
      <w:r>
        <w:br/>
      </w:r>
      <w:r>
        <w:rPr>
          <w:rStyle w:val="NormalTok"/>
        </w:rPr>
        <w:t xml:space="preserve">→ Supabase lead record, Google Sheets fallback</w:t>
      </w:r>
      <w:r>
        <w:br/>
      </w:r>
      <w:r>
        <w:rPr>
          <w:rStyle w:val="NormalTok"/>
        </w:rPr>
        <w:t xml:space="preserve">→ Telegram operator alert</w:t>
      </w:r>
      <w:r>
        <w:br/>
      </w:r>
      <w:r>
        <w:rPr>
          <w:rStyle w:val="NormalTok"/>
        </w:rPr>
        <w:t xml:space="preserve">→ /api/pipeline/preflight</w:t>
      </w:r>
      <w:r>
        <w:br/>
      </w:r>
      <w:r>
        <w:rPr>
          <w:rStyle w:val="NormalTok"/>
        </w:rPr>
        <w:t xml:space="preserve">→ Firecrawl/fetch website crawl</w:t>
      </w:r>
      <w:r>
        <w:br/>
      </w:r>
      <w:r>
        <w:rPr>
          <w:rStyle w:val="NormalTok"/>
        </w:rPr>
        <w:t xml:space="preserve">→ SEO/llms/sitemap/schema/review checks</w:t>
      </w:r>
      <w:r>
        <w:br/>
      </w:r>
      <w:r>
        <w:rPr>
          <w:rStyle w:val="NormalTok"/>
        </w:rPr>
        <w:t xml:space="preserve">→ Google Places enrichment</w:t>
      </w:r>
      <w:r>
        <w:br/>
      </w:r>
      <w:r>
        <w:rPr>
          <w:rStyle w:val="NormalTok"/>
        </w:rPr>
        <w:t xml:space="preserve">→ Business Intelligence Profile</w:t>
      </w:r>
      <w:r>
        <w:br/>
      </w:r>
      <w:r>
        <w:rPr>
          <w:rStyle w:val="NormalTok"/>
        </w:rPr>
        <w:t xml:space="preserve">→ /api/pipeline/research</w:t>
      </w:r>
      <w:r>
        <w:br/>
      </w:r>
      <w:r>
        <w:rPr>
          <w:rStyle w:val="NormalTok"/>
        </w:rPr>
        <w:t xml:space="preserve">→ prompt generation from profile evidence</w:t>
      </w:r>
      <w:r>
        <w:br/>
      </w:r>
      <w:r>
        <w:rPr>
          <w:rStyle w:val="NormalTok"/>
        </w:rPr>
        <w:t xml:space="preserve">→ Perplexity Sonar AI-search checks</w:t>
      </w:r>
      <w:r>
        <w:br/>
      </w:r>
      <w:r>
        <w:rPr>
          <w:rStyle w:val="NormalTok"/>
        </w:rPr>
        <w:t xml:space="preserve">→ Tavily/Brave web-search fallback + competitor/source discovery</w:t>
      </w:r>
      <w:r>
        <w:br/>
      </w:r>
      <w:r>
        <w:rPr>
          <w:rStyle w:val="NormalTok"/>
        </w:rPr>
        <w:t xml:space="preserve">→ scoring + evidence labels</w:t>
      </w:r>
      <w:r>
        <w:br/>
      </w:r>
      <w:r>
        <w:rPr>
          <w:rStyle w:val="NormalTok"/>
        </w:rPr>
        <w:t xml:space="preserve">→ /api/pipeline/review</w:t>
      </w:r>
      <w:r>
        <w:br/>
      </w:r>
      <w:r>
        <w:rPr>
          <w:rStyle w:val="NormalTok"/>
        </w:rPr>
        <w:t xml:space="preserve">→ pending operator approval</w:t>
      </w:r>
      <w:r>
        <w:br/>
      </w:r>
      <w:r>
        <w:rPr>
          <w:rStyle w:val="NormalTok"/>
        </w:rPr>
        <w:t xml:space="preserve">→ report page stays blocked until ready/approved</w:t>
      </w:r>
    </w:p>
    <w:bookmarkEnd w:id="10"/>
    <w:bookmarkStart w:id="11" w:name="core-principle"/>
    <w:p>
      <w:pPr>
        <w:pStyle w:val="Heading2"/>
      </w:pPr>
      <w:r>
        <w:t xml:space="preserve">Core principle</w:t>
      </w:r>
    </w:p>
    <w:p>
      <w:pPr>
        <w:pStyle w:val="FirstParagraph"/>
      </w:pPr>
      <w:r>
        <w:t xml:space="preserve">The intended architecture is:</w:t>
      </w:r>
    </w:p>
    <w:p>
      <w:pPr>
        <w:pStyle w:val="SourceCode"/>
      </w:pPr>
      <w:r>
        <w:rPr>
          <w:rStyle w:val="NormalTok"/>
        </w:rPr>
        <w:t xml:space="preserve">Evidence → Business Intelligence Profile → prompt plan → research → gated report</w:t>
      </w:r>
    </w:p>
    <w:p>
      <w:pPr>
        <w:pStyle w:val="FirstParagraph"/>
      </w:pPr>
      <w:r>
        <w:t xml:space="preserve">The engine should not start with a hardcoded industry category and force everything into stale templates. Taxonomy exists, but should be secondary. The pipeline should first determine what the business actually is from website evidence, submitted service/niche, Google Places, schema, content, and supplied competitors.</w:t>
      </w:r>
    </w:p>
    <w:bookmarkEnd w:id="11"/>
    <w:bookmarkStart w:id="12" w:name="important-current-toolsproviders"/>
    <w:p>
      <w:pPr>
        <w:pStyle w:val="Heading2"/>
      </w:pPr>
      <w:r>
        <w:t xml:space="preserve">Important current tools/providers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</w:t>
      </w:r>
      <w:r>
        <w:t xml:space="preserve">: primary CRM/source of truth when configured.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Sheets</w:t>
      </w:r>
      <w:r>
        <w:t xml:space="preserve">: legacy fallback through compatibility adapter.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Telegram</w:t>
      </w:r>
      <w:r>
        <w:t xml:space="preserve">: operator alerts for intake, research completion, and review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Firecrawl</w:t>
      </w:r>
      <w:r>
        <w:t xml:space="preserve">: primary website crawler; maps and scrapes multiple pages with JS rendering.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Fetch crawler</w:t>
      </w:r>
      <w:r>
        <w:t xml:space="preserve">: fallback if Firecrawl fails.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SEO auditor</w:t>
      </w:r>
      <w:r>
        <w:t xml:space="preserve">: checks schema,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, title/meta/H1 style signals, machine readiness.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Places API</w:t>
      </w:r>
      <w:r>
        <w:t xml:space="preserve">: validates/enriches client business and supplied competitors; reviews, rating, address, website match, place types.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Perplexity Sonar</w:t>
      </w:r>
      <w:r>
        <w:t xml:space="preserve">: AI-search answer/citation evidence for generated prompts.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Tavily</w:t>
      </w:r>
      <w:r>
        <w:t xml:space="preserve">: web-search fallback and citation/competitor discovery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Brave Search</w:t>
      </w:r>
      <w:r>
        <w:t xml:space="preserve">: backup fallback if Tavily fails.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Resend</w:t>
      </w:r>
      <w:r>
        <w:t xml:space="preserve">: report email delivery, currently blocked until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Vercel/Next.js</w:t>
      </w:r>
      <w:r>
        <w:t xml:space="preserve">: app/API runtime;</w:t>
      </w:r>
      <w:r>
        <w:t xml:space="preserve"> </w:t>
      </w:r>
      <w:r>
        <w:rPr>
          <w:rStyle w:val="VerbatimChar"/>
        </w:rPr>
        <w:t xml:space="preserve">after()</w:t>
      </w:r>
      <w:r>
        <w:t xml:space="preserve"> </w:t>
      </w:r>
      <w:r>
        <w:t xml:space="preserve">triggers follow-up stages after responses.</w:t>
      </w:r>
    </w:p>
    <w:bookmarkEnd w:id="12"/>
    <w:bookmarkStart w:id="13" w:name="X9dfefebe619016dc4d3f191a2de88b2c864d75a"/>
    <w:p>
      <w:pPr>
        <w:pStyle w:val="Heading2"/>
      </w:pPr>
      <w:r>
        <w:t xml:space="preserve">Intake fields that must survive end-to-end</w:t>
      </w:r>
    </w:p>
    <w:p>
      <w:pPr>
        <w:pStyle w:val="FirstParagraph"/>
      </w:pPr>
      <w:r>
        <w:t xml:space="preserve">Visible homepage fields:</w:t>
      </w:r>
    </w:p>
    <w:p>
      <w:pPr>
        <w:pStyle w:val="Compact"/>
        <w:numPr>
          <w:ilvl w:val="0"/>
          <w:numId w:val="1002"/>
        </w:numPr>
      </w:pPr>
      <w:r>
        <w:t xml:space="preserve">business name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website URL</w:t>
      </w:r>
    </w:p>
    <w:p>
      <w:pPr>
        <w:pStyle w:val="Compact"/>
        <w:numPr>
          <w:ilvl w:val="0"/>
          <w:numId w:val="1002"/>
        </w:numPr>
      </w:pPr>
      <w:r>
        <w:t xml:space="preserve">city / ZIP / postal code / market</w:t>
      </w:r>
    </w:p>
    <w:p>
      <w:pPr>
        <w:pStyle w:val="Compact"/>
        <w:numPr>
          <w:ilvl w:val="0"/>
          <w:numId w:val="1002"/>
        </w:numPr>
      </w:pPr>
      <w:r>
        <w:t xml:space="preserve">primary service / niche</w:t>
      </w:r>
    </w:p>
    <w:p>
      <w:pPr>
        <w:pStyle w:val="Compact"/>
        <w:numPr>
          <w:ilvl w:val="0"/>
          <w:numId w:val="1002"/>
        </w:numPr>
      </w:pPr>
      <w:r>
        <w:t xml:space="preserve">competitor 1</w:t>
      </w:r>
    </w:p>
    <w:p>
      <w:pPr>
        <w:pStyle w:val="Compact"/>
        <w:numPr>
          <w:ilvl w:val="0"/>
          <w:numId w:val="1002"/>
        </w:numPr>
      </w:pPr>
      <w:r>
        <w:t xml:space="preserve">competitor 2</w:t>
      </w:r>
    </w:p>
    <w:p>
      <w:pPr>
        <w:pStyle w:val="FirstParagraph"/>
      </w:pPr>
      <w:r>
        <w:t xml:space="preserve">Current mapping:</w:t>
      </w:r>
    </w:p>
    <w:p>
      <w:pPr>
        <w:pStyle w:val="SourceCode"/>
      </w:pPr>
      <w:r>
        <w:rPr>
          <w:rStyle w:val="NormalTok"/>
        </w:rPr>
        <w:t xml:space="preserve">primaryService → businessCategory</w:t>
      </w:r>
      <w:r>
        <w:br/>
      </w:r>
      <w:r>
        <w:rPr>
          <w:rStyle w:val="NormalTok"/>
        </w:rPr>
        <w:t xml:space="preserve">competitorOne → competitor</w:t>
      </w:r>
      <w:r>
        <w:br/>
      </w:r>
      <w:r>
        <w:rPr>
          <w:rStyle w:val="NormalTok"/>
        </w:rPr>
        <w:t xml:space="preserve">competitorTwo → competitor2</w:t>
      </w:r>
    </w:p>
    <w:p>
      <w:pPr>
        <w:pStyle w:val="FirstParagraph"/>
      </w:pPr>
      <w:r>
        <w:t xml:space="preserve">Important: older internal names like</w:t>
      </w:r>
      <w:r>
        <w:t xml:space="preserve"> </w:t>
      </w:r>
      <w:r>
        <w:rPr>
          <w:rStyle w:val="VerbatimChar"/>
        </w:rPr>
        <w:t xml:space="preserve">dealershipName</w:t>
      </w:r>
      <w:r>
        <w:t xml:space="preserve"> </w:t>
      </w:r>
      <w:r>
        <w:t xml:space="preserve">still exist for compatibility. This should not mean the engine is dealership-only.</w:t>
      </w:r>
    </w:p>
    <w:bookmarkEnd w:id="13"/>
    <w:bookmarkStart w:id="14" w:name="what-improved-recently"/>
    <w:p>
      <w:pPr>
        <w:pStyle w:val="Heading2"/>
      </w:pPr>
      <w:r>
        <w:t xml:space="preserve">What improved recently</w:t>
      </w:r>
    </w:p>
    <w:p>
      <w:pPr>
        <w:pStyle w:val="Compact"/>
        <w:numPr>
          <w:ilvl w:val="0"/>
          <w:numId w:val="1003"/>
        </w:numPr>
      </w:pPr>
      <w:r>
        <w:t xml:space="preserve">Homepage now passes</w:t>
      </w:r>
      <w:r>
        <w:t xml:space="preserve"> </w:t>
      </w:r>
      <w:r>
        <w:rPr>
          <w:b/>
          <w:bCs/>
        </w:rPr>
        <w:t xml:space="preserve">primary service/niche</w:t>
      </w:r>
      <w:r>
        <w:t xml:space="preserve"> </w:t>
      </w:r>
      <w:r>
        <w:t xml:space="preserve">into the pipeline.</w:t>
      </w:r>
    </w:p>
    <w:p>
      <w:pPr>
        <w:pStyle w:val="Compact"/>
        <w:numPr>
          <w:ilvl w:val="0"/>
          <w:numId w:val="1003"/>
        </w:numPr>
      </w:pPr>
      <w:r>
        <w:t xml:space="preserve">Competitor 1 and competitor 2 are submitted as separate fields instead of one comma string.</w:t>
      </w:r>
    </w:p>
    <w:p>
      <w:pPr>
        <w:pStyle w:val="Compact"/>
        <w:numPr>
          <w:ilvl w:val="0"/>
          <w:numId w:val="1003"/>
        </w:numPr>
      </w:pPr>
      <w:r>
        <w:t xml:space="preserve">Preflight now derives a more human business type from title/meta/body evidence.</w:t>
      </w:r>
    </w:p>
    <w:p>
      <w:pPr>
        <w:pStyle w:val="Compact"/>
        <w:numPr>
          <w:ilvl w:val="0"/>
          <w:numId w:val="1003"/>
        </w:numPr>
      </w:pPr>
      <w:r>
        <w:t xml:space="preserve">Research uses the Business Intelligence Profile before taxonomy prompts.</w:t>
      </w:r>
    </w:p>
    <w:p>
      <w:pPr>
        <w:pStyle w:val="Compact"/>
        <w:numPr>
          <w:ilvl w:val="0"/>
          <w:numId w:val="1003"/>
        </w:numPr>
      </w:pPr>
      <w:r>
        <w:t xml:space="preserve">Client-declared category can override automated classification and regenerate prompts.</w:t>
      </w:r>
    </w:p>
    <w:p>
      <w:pPr>
        <w:pStyle w:val="Compact"/>
        <w:numPr>
          <w:ilvl w:val="0"/>
          <w:numId w:val="1003"/>
        </w:numPr>
      </w:pPr>
      <w:r>
        <w:t xml:space="preserve">Stale prompt guardrails rebuild mismatched vertical prompts, such as dealership language on a non-auto business.</w:t>
      </w:r>
    </w:p>
    <w:bookmarkEnd w:id="14"/>
    <w:bookmarkStart w:id="15" w:name="current-scoring-shape"/>
    <w:p>
      <w:pPr>
        <w:pStyle w:val="Heading2"/>
      </w:pPr>
      <w:r>
        <w:t xml:space="preserve">Current scoring shape</w:t>
      </w:r>
    </w:p>
    <w:p>
      <w:pPr>
        <w:pStyle w:val="FirstParagraph"/>
      </w:pPr>
      <w:r>
        <w:t xml:space="preserve">Free report scoring is currently simple:</w:t>
      </w:r>
    </w:p>
    <w:p>
      <w:pPr>
        <w:pStyle w:val="SourceCode"/>
      </w:pPr>
      <w:r>
        <w:rPr>
          <w:rStyle w:val="NormalTok"/>
        </w:rPr>
        <w:t xml:space="preserve">appearedCount = prompts where business appeared</w:t>
      </w:r>
      <w:r>
        <w:br/>
      </w:r>
      <w:r>
        <w:rPr>
          <w:rStyle w:val="NormalTok"/>
        </w:rPr>
        <w:t xml:space="preserve">totalPrompts = total prompts tested</w:t>
      </w:r>
      <w:r>
        <w:br/>
      </w:r>
      <w:r>
        <w:rPr>
          <w:rStyle w:val="NormalTok"/>
        </w:rPr>
        <w:t xml:space="preserve">appearanceRate = appearedCount / totalPrompts</w:t>
      </w:r>
    </w:p>
    <w:p>
      <w:pPr>
        <w:pStyle w:val="FirstParagraph"/>
      </w:pPr>
      <w:r>
        <w:t xml:space="preserve">Bands:</w:t>
      </w:r>
    </w:p>
    <w:p>
      <w:pPr>
        <w:pStyle w:val="SourceCode"/>
      </w:pPr>
      <w:r>
        <w:rPr>
          <w:rStyle w:val="NormalTok"/>
        </w:rPr>
        <w:t xml:space="preserve">Strong   ≥ 70%</w:t>
      </w:r>
      <w:r>
        <w:br/>
      </w:r>
      <w:r>
        <w:rPr>
          <w:rStyle w:val="NormalTok"/>
        </w:rPr>
        <w:t xml:space="preserve">Moderate ≥ 40%</w:t>
      </w:r>
      <w:r>
        <w:br/>
      </w:r>
      <w:r>
        <w:rPr>
          <w:rStyle w:val="NormalTok"/>
        </w:rPr>
        <w:t xml:space="preserve">Weak     &lt; 40%</w:t>
      </w:r>
    </w:p>
    <w:p>
      <w:pPr>
        <w:pStyle w:val="FirstParagraph"/>
      </w:pPr>
      <w:r>
        <w:t xml:space="preserve">This is not yet the full hybrid AVI score. It is a free-report snapshot based mainly on prompt appearance plus supporting machine-readiness and evidence signals.</w:t>
      </w:r>
    </w:p>
    <w:bookmarkEnd w:id="15"/>
    <w:bookmarkStart w:id="16" w:name="competitor-policy"/>
    <w:p>
      <w:pPr>
        <w:pStyle w:val="Heading2"/>
      </w:pPr>
      <w:r>
        <w:t xml:space="preserve">Competitor policy</w:t>
      </w:r>
    </w:p>
    <w:p>
      <w:pPr>
        <w:pStyle w:val="Compact"/>
        <w:numPr>
          <w:ilvl w:val="0"/>
          <w:numId w:val="1004"/>
        </w:numPr>
      </w:pPr>
      <w:r>
        <w:t xml:space="preserve">Ask for exactly two competitors.</w:t>
      </w:r>
    </w:p>
    <w:p>
      <w:pPr>
        <w:pStyle w:val="Compact"/>
        <w:numPr>
          <w:ilvl w:val="0"/>
          <w:numId w:val="1004"/>
        </w:numPr>
      </w:pPr>
      <w:r>
        <w:t xml:space="preserve">If supplied, competitor mode is</w:t>
      </w:r>
      <w:r>
        <w:t xml:space="preserve"> </w:t>
      </w:r>
      <w:r>
        <w:rPr>
          <w:rStyle w:val="VerbatimChar"/>
        </w:rPr>
        <w:t xml:space="preserve">client_provided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not supplied, mode is</w:t>
      </w:r>
      <w:r>
        <w:t xml:space="preserve"> </w:t>
      </w:r>
      <w:r>
        <w:rPr>
          <w:rStyle w:val="VerbatimChar"/>
        </w:rPr>
        <w:t xml:space="preserve">client_only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Auto-discovered competitors are internal-only until confirmed or approved.</w:t>
      </w:r>
    </w:p>
    <w:p>
      <w:pPr>
        <w:pStyle w:val="Compact"/>
        <w:numPr>
          <w:ilvl w:val="0"/>
          <w:numId w:val="1004"/>
        </w:numPr>
      </w:pPr>
      <w:r>
        <w:t xml:space="preserve">Client-only reports should not invent competitor scores, ranks, AI share, or revenue gaps.</w:t>
      </w:r>
    </w:p>
    <w:bookmarkEnd w:id="16"/>
    <w:bookmarkStart w:id="17" w:name="report-gating"/>
    <w:p>
      <w:pPr>
        <w:pStyle w:val="Heading2"/>
      </w:pPr>
      <w:r>
        <w:t xml:space="preserve">Report gating</w:t>
      </w:r>
    </w:p>
    <w:p>
      <w:pPr>
        <w:pStyle w:val="FirstParagraph"/>
      </w:pPr>
      <w:r>
        <w:t xml:space="preserve">The report page should stay blocked until:</w:t>
      </w:r>
    </w:p>
    <w:p>
      <w:pPr>
        <w:pStyle w:val="Compact"/>
        <w:numPr>
          <w:ilvl w:val="0"/>
          <w:numId w:val="1005"/>
        </w:numPr>
      </w:pPr>
      <w:r>
        <w:t xml:space="preserve">lead exists</w:t>
      </w:r>
    </w:p>
    <w:p>
      <w:pPr>
        <w:pStyle w:val="Compact"/>
        <w:numPr>
          <w:ilvl w:val="0"/>
          <w:numId w:val="1005"/>
        </w:numPr>
      </w:pPr>
      <w:r>
        <w:t xml:space="preserve">research is complete</w:t>
      </w:r>
    </w:p>
    <w:p>
      <w:pPr>
        <w:pStyle w:val="Compact"/>
        <w:numPr>
          <w:ilvl w:val="0"/>
          <w:numId w:val="1005"/>
        </w:numPr>
      </w:pPr>
      <w:r>
        <w:t xml:space="preserve">research data parses correctly</w:t>
      </w:r>
    </w:p>
    <w:p>
      <w:pPr>
        <w:pStyle w:val="Compact"/>
        <w:numPr>
          <w:ilvl w:val="0"/>
          <w:numId w:val="1005"/>
        </w:numPr>
      </w:pPr>
      <w:r>
        <w:t xml:space="preserve">access state is ready/approved</w:t>
      </w:r>
    </w:p>
    <w:p>
      <w:pPr>
        <w:pStyle w:val="FirstParagraph"/>
      </w:pPr>
      <w:r>
        <w:t xml:space="preserve">Client email is blocked until operator approval. The report renderer should not expose internal workflow language, fake competitors, wrong-niche prompts, impossible metrics, or fallback evidence as if it were true AI recommendation proof.</w:t>
      </w:r>
    </w:p>
    <w:bookmarkEnd w:id="17"/>
    <w:bookmarkStart w:id="18" w:name="best-second-opinion-review-questions"/>
    <w:p>
      <w:pPr>
        <w:pStyle w:val="Heading2"/>
      </w:pPr>
      <w:r>
        <w:t xml:space="preserve">Best second-opinion review questions</w:t>
      </w:r>
    </w:p>
    <w:p>
      <w:pPr>
        <w:pStyle w:val="Compact"/>
        <w:numPr>
          <w:ilvl w:val="0"/>
          <w:numId w:val="1006"/>
        </w:numPr>
      </w:pPr>
      <w:r>
        <w:t xml:space="preserve">Does every visible intake field survive through frontend → API → Supabase → preflight → research → report?</w:t>
      </w:r>
    </w:p>
    <w:p>
      <w:pPr>
        <w:pStyle w:val="Compact"/>
        <w:numPr>
          <w:ilvl w:val="0"/>
          <w:numId w:val="1006"/>
        </w:numPr>
      </w:pPr>
      <w:r>
        <w:t xml:space="preserve">Should competitors be stored as a true structured array everywhere instead of split/join compatibility strings?</w:t>
      </w:r>
    </w:p>
    <w:p>
      <w:pPr>
        <w:pStyle w:val="Compact"/>
        <w:numPr>
          <w:ilvl w:val="0"/>
          <w:numId w:val="1006"/>
        </w:numPr>
      </w:pPr>
      <w:r>
        <w:t xml:space="preserve">Should submitted primary service/niche be a first-class Supabase column, not mostly notes/raw intake?</w:t>
      </w:r>
    </w:p>
    <w:p>
      <w:pPr>
        <w:pStyle w:val="Compact"/>
        <w:numPr>
          <w:ilvl w:val="0"/>
          <w:numId w:val="1006"/>
        </w:numPr>
      </w:pPr>
      <w:r>
        <w:t xml:space="preserve">Can stale vertical prompts still survive into research after the guardrails?</w:t>
      </w:r>
    </w:p>
    <w:p>
      <w:pPr>
        <w:pStyle w:val="Compact"/>
        <w:numPr>
          <w:ilvl w:val="0"/>
          <w:numId w:val="1006"/>
        </w:numPr>
      </w:pPr>
      <w:r>
        <w:t xml:space="preserve">Can Tavily/Brave fallback be mislabeled as true AI visibility?</w:t>
      </w:r>
    </w:p>
    <w:p>
      <w:pPr>
        <w:pStyle w:val="Compact"/>
        <w:numPr>
          <w:ilvl w:val="0"/>
          <w:numId w:val="1006"/>
        </w:numPr>
      </w:pPr>
      <w:r>
        <w:t xml:space="preserve">Are free-mode cost/runtime limits actually enforced?</w:t>
      </w:r>
    </w:p>
    <w:p>
      <w:pPr>
        <w:pStyle w:val="Compact"/>
        <w:numPr>
          <w:ilvl w:val="0"/>
          <w:numId w:val="1006"/>
        </w:numPr>
      </w:pPr>
      <w:r>
        <w:t xml:space="preserve">Is Google Places enrichment reliably returning real production data?</w:t>
      </w:r>
    </w:p>
    <w:p>
      <w:pPr>
        <w:pStyle w:val="Compact"/>
        <w:numPr>
          <w:ilvl w:val="0"/>
          <w:numId w:val="1006"/>
        </w:numPr>
      </w:pPr>
      <w:r>
        <w:t xml:space="preserve">Is the Perplexity Sonar endpoint/model current and correctly configured?</w:t>
      </w:r>
    </w:p>
    <w:p>
      <w:pPr>
        <w:pStyle w:val="Compact"/>
        <w:numPr>
          <w:ilvl w:val="0"/>
          <w:numId w:val="1006"/>
        </w:numPr>
      </w:pPr>
      <w:r>
        <w:t xml:space="preserve">Is the review gate strong enough, or should it hard-block wrong vertical terms, weak niche confidence, fallback-only provider evidence, and unsafe copy?</w:t>
      </w:r>
    </w:p>
    <w:p>
      <w:pPr>
        <w:pStyle w:val="Compact"/>
        <w:numPr>
          <w:ilvl w:val="0"/>
          <w:numId w:val="1006"/>
        </w:numPr>
      </w:pPr>
      <w:r>
        <w:t xml:space="preserve">Should preflight/research/report artifacts move out of overloaded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into dedicated Supabase tables?</w:t>
      </w:r>
    </w:p>
    <w:p>
      <w:pPr>
        <w:pStyle w:val="Compact"/>
        <w:numPr>
          <w:ilvl w:val="0"/>
          <w:numId w:val="1006"/>
        </w:numPr>
      </w:pPr>
      <w:r>
        <w:t xml:space="preserve">Should report rendering consume only a canonical client-safe payload instead of raw research JSON?</w:t>
      </w:r>
    </w:p>
    <w:p>
      <w:pPr>
        <w:pStyle w:val="Compact"/>
        <w:numPr>
          <w:ilvl w:val="0"/>
          <w:numId w:val="1006"/>
        </w:numPr>
      </w:pPr>
      <w:r>
        <w:t xml:space="preserve">Do any legacy dealership field names or templates create future wrong-niche risk?</w:t>
      </w:r>
    </w:p>
    <w:bookmarkEnd w:id="18"/>
    <w:bookmarkStart w:id="19" w:name="reviewer-target-outcome"/>
    <w:p>
      <w:pPr>
        <w:pStyle w:val="Heading2"/>
      </w:pPr>
      <w:r>
        <w:t xml:space="preserve">Reviewer target outcome</w:t>
      </w:r>
    </w:p>
    <w:p>
      <w:pPr>
        <w:pStyle w:val="FirstParagraph"/>
      </w:pPr>
      <w:r>
        <w:t xml:space="preserve">The most valuable outside review is not “is this clever?” It is:</w:t>
      </w:r>
    </w:p>
    <w:p>
      <w:pPr>
        <w:pStyle w:val="Compact"/>
        <w:numPr>
          <w:ilvl w:val="0"/>
          <w:numId w:val="1007"/>
        </w:numPr>
      </w:pPr>
      <w:r>
        <w:t xml:space="preserve">Where can wrong business type/niche still enter?</w:t>
      </w:r>
    </w:p>
    <w:p>
      <w:pPr>
        <w:pStyle w:val="Compact"/>
        <w:numPr>
          <w:ilvl w:val="0"/>
          <w:numId w:val="1007"/>
        </w:numPr>
      </w:pPr>
      <w:r>
        <w:t xml:space="preserve">Where can structured intake data be lost?</w:t>
      </w:r>
    </w:p>
    <w:p>
      <w:pPr>
        <w:pStyle w:val="Compact"/>
        <w:numPr>
          <w:ilvl w:val="0"/>
          <w:numId w:val="1007"/>
        </w:numPr>
      </w:pPr>
      <w:r>
        <w:t xml:space="preserve">Where can fallback/search evidence be overclaimed?</w:t>
      </w:r>
    </w:p>
    <w:p>
      <w:pPr>
        <w:pStyle w:val="Compact"/>
        <w:numPr>
          <w:ilvl w:val="0"/>
          <w:numId w:val="1007"/>
        </w:numPr>
      </w:pPr>
      <w:r>
        <w:t xml:space="preserve">Where can unapproved competitors leak client-facing?</w:t>
      </w:r>
    </w:p>
    <w:p>
      <w:pPr>
        <w:pStyle w:val="Compact"/>
        <w:numPr>
          <w:ilvl w:val="0"/>
          <w:numId w:val="1007"/>
        </w:numPr>
      </w:pPr>
      <w:r>
        <w:t xml:space="preserve">Where can reports render facts not proven by the pipeline?</w:t>
      </w:r>
    </w:p>
    <w:p>
      <w:pPr>
        <w:pStyle w:val="FirstParagraph"/>
      </w:pPr>
      <w:r>
        <w:t xml:space="preserve">Recommended next hardening move:</w:t>
      </w:r>
    </w:p>
    <w:p>
      <w:pPr>
        <w:pStyle w:val="SourceCode"/>
      </w:pPr>
      <w:r>
        <w:rPr>
          <w:rStyle w:val="NormalTok"/>
        </w:rPr>
        <w:t xml:space="preserve">Create one end-to-end contract test that submits a fake lead with a unique business name, unique primary service, two unique competitors, and UTM/referrer data. Assert those exact fields survive through intake, Supabase, preflight, research input, parsed report data, and rendered report copy where appropriate.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2026-06-09T19:37:58Z</dcterms:created>
  <dcterms:modified xsi:type="dcterms:W3CDTF">2026-06-09T19:37:58Z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