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Szkeleton tervezése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62 – turbosnakes</w:t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Konzulens:</w:t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color w:val="000000"/>
          <w:sz w:val="44"/>
          <w:szCs w:val="44"/>
          <w:rtl w:val="0"/>
        </w:rPr>
        <w:t xml:space="preserve">Tóth Márton</w:t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Csapattagok</w:t>
      </w:r>
    </w:p>
    <w:tbl>
      <w:tblPr>
        <w:tblStyle w:val="Table1"/>
        <w:bidiVisual w:val="0"/>
        <w:tblW w:w="8293.0" w:type="dxa"/>
        <w:jc w:val="left"/>
        <w:tblInd w:w="-70.0" w:type="dxa"/>
        <w:tblLayout w:type="fixed"/>
        <w:tblLook w:val="0000"/>
      </w:tblPr>
      <w:tblGrid>
        <w:gridCol w:w="2622"/>
        <w:gridCol w:w="1418"/>
        <w:gridCol w:w="4253"/>
        <w:tblGridChange w:id="0">
          <w:tblGrid>
            <w:gridCol w:w="2622"/>
            <w:gridCol w:w="1418"/>
            <w:gridCol w:w="425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Dobó Ádám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PSBXLX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doboadam19@gmail.com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Papp Attila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EQQVLL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papp.attila971@gmail.com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Salamon Krisztián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ULV31A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salamonkrisztian@gmail.com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Fenes Áron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L2B53R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fenesaron9@gmail.com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Vizi Előd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S53O1S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elod.vizi@yahoo.com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2017. 0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13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