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72"/>
          <w:szCs w:val="72"/>
        </w:rPr>
        <w:t xml:space="preserve">VIZION</w:t>
      </w:r>
    </w:p>
    <w:p>
      <w:pPr>
        <w:spacing w:after="100"/>
        <w:jc w:val="center"/>
      </w:pPr>
      <w:r>
        <w:rPr>
          <w:rFonts w:ascii="Arial" w:cs="Arial" w:eastAsia="Arial" w:hAnsi="Arial"/>
          <w:color w:val="0F3460"/>
          <w:sz w:val="28"/>
          <w:szCs w:val="28"/>
        </w:rPr>
        <w:t xml:space="preserve">Agence de Marketing Produit B2B</w:t>
      </w:r>
    </w:p>
    <w:p>
      <w:pPr>
        <w:spacing w:after="600"/>
        <w:jc w:val="center"/>
      </w:pPr>
      <w:r>
        <w:rPr>
          <w:rFonts w:ascii="Arial" w:cs="Arial" w:eastAsia="Arial" w:hAnsi="Arial"/>
          <w:color w:val="E94560"/>
          <w:sz w:val="24"/>
          <w:szCs w:val="24"/>
        </w:rPr>
        <w:t xml:space="preserve">━━━━━━━━━━━━━━━━━━</w:t>
      </w:r>
    </w:p>
    <w:p>
      <w:pPr>
        <w:spacing w:after="200"/>
        <w:jc w:val="center"/>
      </w:pPr>
      <w:r>
        <w:rPr>
          <w:rFonts w:ascii="Arial" w:cs="Arial" w:eastAsia="Arial" w:hAnsi="Arial"/>
          <w:b/>
          <w:bCs/>
          <w:color w:val="1A1A2E"/>
          <w:sz w:val="36"/>
          <w:szCs w:val="36"/>
        </w:rPr>
        <w:t xml:space="preserve">POSITIONNEMENT &amp; CADRE STRATÉGIQUE</w:t>
      </w:r>
    </w:p>
    <w:p>
      <w:pPr>
        <w:spacing w:after="100"/>
        <w:jc w:val="center"/>
      </w:pPr>
      <w:r>
        <w:rPr>
          <w:rFonts w:ascii="Arial" w:cs="Arial" w:eastAsia="Arial" w:hAnsi="Arial"/>
          <w:color w:val="666666"/>
          <w:sz w:val="22"/>
          <w:szCs w:val="22"/>
        </w:rPr>
        <w:t xml:space="preserve">Document interne — Février 2026</w:t>
      </w:r>
    </w:p>
    <w:p>
      <w:pPr>
        <w:spacing w:before="2000"/>
      </w:pPr>
    </w:p>
    <w:p>
      <w:pPr>
        <w:jc w:val="center"/>
      </w:pPr>
      <w:r>
        <w:rPr>
          <w:rFonts w:ascii="Arial" w:cs="Arial" w:eastAsia="Arial" w:hAnsi="Arial"/>
          <w:b/>
          <w:bCs/>
          <w:i/>
          <w:iCs/>
          <w:color w:val="E94560"/>
          <w:sz w:val="26"/>
          <w:szCs w:val="26"/>
        </w:rPr>
        <w:t xml:space="preserve">Notre mission : faire de vous l’évidence sur votre marché.</w:t>
      </w:r>
    </w:p>
    <w:p>
      <w:pPr>
        <w:sectPr>
          <w:pgSz w:w="11906" w:h="16838" w:orient="portrait"/>
          <w:pgMar w:top="1440" w:right="1440" w:bottom="1440" w:left="1440" w:header="708" w:footer="708" w:gutter="0"/>
          <w:pgNumType/>
          <w:docGrid w:linePitch="360"/>
        </w:sectPr>
      </w:pPr>
    </w:p>
    <w:p>
      <w:pPr>
        <w:pStyle w:val="Heading1"/>
        <w:spacing w:before="400" w:after="100"/>
      </w:pPr>
      <w:r>
        <w:rPr>
          <w:rFonts w:ascii="Arial" w:cs="Arial" w:eastAsia="Arial" w:hAnsi="Arial"/>
          <w:b/>
          <w:bCs/>
          <w:color w:val="0F3460"/>
          <w:sz w:val="32"/>
          <w:szCs w:val="32"/>
        </w:rPr>
        <w:t xml:space="preserve">1. QUI SOMMES-NOUS</w:t>
      </w:r>
    </w:p>
    <w:p>
      <w:pPr>
        <w:spacing w:before="0" w:after="200"/>
      </w:pPr>
      <w:r>
        <w:rPr>
          <w:rFonts w:ascii="Arial" w:cs="Arial" w:eastAsia="Arial" w:hAnsi="Arial"/>
          <w:color w:val="E94560"/>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F5F5F5" w:val="clear"/>
            <w:tcMar>
              <w:top w:type="dxa" w:w="150"/>
              <w:left w:type="dxa" w:w="200"/>
              <w:bottom w:type="dxa" w:w="150"/>
              <w:right w:type="dxa" w:w="200"/>
            </w:tcMar>
          </w:tcPr>
          <w:p>
            <w:pPr>
              <w:jc w:val="center"/>
            </w:pPr>
            <w:r>
              <w:rPr>
                <w:rFonts w:ascii="Arial" w:cs="Arial" w:eastAsia="Arial" w:hAnsi="Arial"/>
                <w:b/>
                <w:bCs/>
                <w:color w:val="1A1A2E"/>
                <w:sz w:val="24"/>
                <w:szCs w:val="24"/>
              </w:rPr>
              <w:t xml:space="preserve">Vizion est une agence de marketing produit B2B. On aide les entreprises à clarifier, packager et vendre leur offre.</w:t>
            </w:r>
          </w:p>
        </w:tc>
      </w:tr>
    </w:tbl>
    <w:p>
      <w:pPr>
        <w:spacing w:before="200"/>
      </w:pPr>
    </w:p>
    <w:p>
      <w:pPr>
        <w:spacing w:before="80" w:after="80"/>
        <w:jc w:val="left"/>
      </w:pPr>
      <w:r>
        <w:rPr>
          <w:rFonts w:ascii="Arial" w:cs="Arial" w:eastAsia="Arial" w:hAnsi="Arial"/>
          <w:b w:val="false"/>
          <w:bCs w:val="false"/>
          <w:i w:val="false"/>
          <w:iCs w:val="false"/>
          <w:color w:val="333333"/>
          <w:sz w:val="22"/>
          <w:szCs w:val="22"/>
        </w:rPr>
        <w:t xml:space="preserve">Vizion accompagne les entreprises B2B dans les moments critiques de leur développement : lancement, restructuration, accélération. Notre spécialité, c’est de transformer une offre complexe en un message clair qui déclenche la décision d’achat.</w:t>
      </w:r>
    </w:p>
    <w:p>
      <w:pPr>
        <w:spacing w:before="80" w:after="80"/>
        <w:jc w:val="left"/>
      </w:pPr>
      <w:r>
        <w:rPr>
          <w:rFonts w:ascii="Arial" w:cs="Arial" w:eastAsia="Arial" w:hAnsi="Arial"/>
          <w:b w:val="false"/>
          <w:bCs w:val="false"/>
          <w:i w:val="false"/>
          <w:iCs w:val="false"/>
          <w:color w:val="333333"/>
          <w:sz w:val="22"/>
          <w:szCs w:val="22"/>
        </w:rPr>
        <w:t xml:space="preserve">Nous ne remplaçons pas les équipes internes. Nous les renforçons. Notre modèle hybride combine une équipe permanente avec un réseau de spécialistes activés selon les besoins du projet.</w:t>
      </w:r>
    </w:p>
    <w:p>
      <w:pPr>
        <w:pStyle w:val="Heading2"/>
        <w:spacing w:before="300" w:after="100"/>
      </w:pPr>
      <w:r>
        <w:rPr>
          <w:rFonts w:ascii="Arial" w:cs="Arial" w:eastAsia="Arial" w:hAnsi="Arial"/>
          <w:b/>
          <w:bCs/>
          <w:color w:val="1A1A2E"/>
          <w:sz w:val="26"/>
          <w:szCs w:val="26"/>
        </w:rPr>
        <w:t xml:space="preserve">Ce que « marketing produit » veut dire chez nous</w:t>
      </w:r>
    </w:p>
    <w:p>
      <w:pPr>
        <w:spacing w:before="80" w:after="80"/>
        <w:jc w:val="left"/>
      </w:pPr>
      <w:r>
        <w:rPr>
          <w:rFonts w:ascii="Arial" w:cs="Arial" w:eastAsia="Arial" w:hAnsi="Arial"/>
          <w:b w:val="false"/>
          <w:bCs w:val="false"/>
          <w:i w:val="false"/>
          <w:iCs w:val="false"/>
          <w:color w:val="333333"/>
          <w:sz w:val="22"/>
          <w:szCs w:val="22"/>
        </w:rPr>
        <w:t xml:space="preserve">Le marketing produit, c’est l’art de positionner une offre sur son marché pour qu’elle devienne le choix évident. Cela couvre le positionnement, le messaging, les sites web et landing pages, le SEO, les campagnes publicitaires, le sales enablement, et la notoriété des dirigeants sur LinkedIn. Cela s’applique à tout type de « produit » au sens large : un logiciel SaaS, un concept de franchise, un service B2B. La méthode est la même, seule la nature du produit change.</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0F3460"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CE QU’ON FAIT</w:t>
            </w:r>
          </w:p>
        </w:tc>
        <w:tc>
          <w:tcPr>
            <w:tcW w:type="dxa" w:w="4513"/>
            <w:tcBorders>
              <w:top w:val="single" w:color="CCCCCC" w:sz="1"/>
              <w:left w:val="single" w:color="CCCCCC" w:sz="1"/>
              <w:bottom w:val="single" w:color="CCCCCC" w:sz="1"/>
              <w:right w:val="single" w:color="CCCCCC" w:sz="1"/>
            </w:tcBorders>
            <w:shd w:fill="C0392B"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CE QU’ON NE FAIT PAS</w:t>
            </w:r>
          </w:p>
        </w:tc>
      </w:tr>
      <w:tr>
        <w:tc>
          <w:tcPr>
            <w:tcW w:type="dxa" w:w="45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Positionnement &amp; messaging</w:t>
            </w:r>
          </w:p>
        </w:tc>
        <w:tc>
          <w:tcPr>
            <w:tcW w:type="dxa" w:w="45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Branding / identité visuelle</w:t>
            </w:r>
          </w:p>
        </w:tc>
      </w:tr>
      <w:tr>
        <w:tc>
          <w:tcPr>
            <w:tcW w:type="dxa" w:w="45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Copywriting de conversion</w:t>
            </w:r>
          </w:p>
        </w:tc>
        <w:tc>
          <w:tcPr>
            <w:tcW w:type="dxa" w:w="45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Community management</w:t>
            </w:r>
          </w:p>
        </w:tc>
      </w:tr>
      <w:tr>
        <w:tc>
          <w:tcPr>
            <w:tcW w:type="dxa" w:w="45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Sales enablement</w:t>
            </w:r>
          </w:p>
        </w:tc>
        <w:tc>
          <w:tcPr>
            <w:tcW w:type="dxa" w:w="45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Relations presse</w:t>
            </w:r>
          </w:p>
        </w:tc>
      </w:tr>
      <w:tr>
        <w:tc>
          <w:tcPr>
            <w:tcW w:type="dxa" w:w="45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Campagnes publicitaires (Meta, Google, LinkedIn)</w:t>
            </w:r>
          </w:p>
        </w:tc>
        <w:tc>
          <w:tcPr>
            <w:tcW w:type="dxa" w:w="45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Développement applicatif / logiciel</w:t>
            </w:r>
          </w:p>
        </w:tc>
      </w:tr>
      <w:tr>
        <w:tc>
          <w:tcPr>
            <w:tcW w:type="dxa" w:w="45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Sites web &amp; landing pages</w:t>
            </w:r>
          </w:p>
        </w:tc>
        <w:tc>
          <w:tcPr>
            <w:tcW w:type="dxa" w:w="45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Création de contenu organique à grande échelle</w:t>
            </w:r>
          </w:p>
        </w:tc>
      </w:tr>
      <w:tr>
        <w:tc>
          <w:tcPr>
            <w:tcW w:type="dxa" w:w="45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SEO &amp; référencement produit</w:t>
            </w:r>
          </w:p>
        </w:tc>
        <w:tc>
          <w:tcPr>
            <w:tcW w:type="dxa" w:w="45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Gestion de réseaux sociaux au quotidien</w:t>
            </w:r>
          </w:p>
        </w:tc>
      </w:tr>
      <w:tr>
        <w:tc>
          <w:tcPr>
            <w:tcW w:type="dxa" w:w="45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Notoriété LinkedIn (personal branding dirigeant)</w:t>
            </w:r>
          </w:p>
        </w:tc>
        <w:tc>
          <w:tcPr>
            <w:tcW w:type="dxa" w:w="4513"/>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333333"/>
                <w:sz w:val="20"/>
                <w:szCs w:val="20"/>
              </w:rPr>
              <w:t xml:space="preserve"/>
            </w:r>
          </w:p>
        </w:tc>
      </w:tr>
    </w:tbl>
    <w:p>
      <w:r>
        <w:br w:type="page"/>
      </w:r>
    </w:p>
    <w:p>
      <w:pPr>
        <w:pStyle w:val="Heading1"/>
        <w:spacing w:before="400" w:after="100"/>
      </w:pPr>
      <w:r>
        <w:rPr>
          <w:rFonts w:ascii="Arial" w:cs="Arial" w:eastAsia="Arial" w:hAnsi="Arial"/>
          <w:b/>
          <w:bCs/>
          <w:color w:val="0F3460"/>
          <w:sz w:val="32"/>
          <w:szCs w:val="32"/>
        </w:rPr>
        <w:t xml:space="preserve">2. POSITIONNEMENT</w:t>
      </w:r>
    </w:p>
    <w:p>
      <w:pPr>
        <w:spacing w:before="0" w:after="200"/>
      </w:pPr>
      <w:r>
        <w:rPr>
          <w:rFonts w:ascii="Arial" w:cs="Arial" w:eastAsia="Arial" w:hAnsi="Arial"/>
          <w:color w:val="E94560"/>
          <w:sz w:val="20"/>
          <w:szCs w:val="20"/>
        </w:rPr>
        <w:t xml:space="preserve">━━━━━━━━━━</w:t>
      </w:r>
    </w:p>
    <w:p>
      <w:pPr>
        <w:pStyle w:val="Heading2"/>
        <w:spacing w:before="300" w:after="100"/>
      </w:pPr>
      <w:r>
        <w:rPr>
          <w:rFonts w:ascii="Arial" w:cs="Arial" w:eastAsia="Arial" w:hAnsi="Arial"/>
          <w:b/>
          <w:bCs/>
          <w:color w:val="1A1A2E"/>
          <w:sz w:val="26"/>
          <w:szCs w:val="26"/>
        </w:rPr>
        <w:t xml:space="preserve">Notre promesse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F5F5F5" w:val="clear"/>
            <w:tcMar>
              <w:top w:type="dxa" w:w="150"/>
              <w:left w:type="dxa" w:w="200"/>
              <w:bottom w:type="dxa" w:w="150"/>
              <w:right w:type="dxa" w:w="200"/>
            </w:tcMar>
          </w:tcPr>
          <w:p>
            <w:pPr>
              <w:jc w:val="center"/>
            </w:pPr>
            <w:r>
              <w:rPr>
                <w:rFonts w:ascii="Arial" w:cs="Arial" w:eastAsia="Arial" w:hAnsi="Arial"/>
                <w:b/>
                <w:bCs/>
                <w:color w:val="1A1A2E"/>
                <w:sz w:val="24"/>
                <w:szCs w:val="24"/>
              </w:rPr>
              <w:t xml:space="preserve">Faire de vous l’évidence sur votre marché.</w:t>
            </w:r>
          </w:p>
        </w:tc>
      </w:tr>
    </w:tbl>
    <w:p>
      <w:pPr>
        <w:spacing w:before="200"/>
      </w:pPr>
    </w:p>
    <w:p>
      <w:pPr>
        <w:spacing w:before="80" w:after="80"/>
        <w:jc w:val="left"/>
      </w:pPr>
      <w:r>
        <w:rPr>
          <w:rFonts w:ascii="Arial" w:cs="Arial" w:eastAsia="Arial" w:hAnsi="Arial"/>
          <w:b w:val="false"/>
          <w:bCs w:val="false"/>
          <w:i w:val="false"/>
          <w:iCs w:val="false"/>
          <w:color w:val="333333"/>
          <w:sz w:val="22"/>
          <w:szCs w:val="22"/>
        </w:rPr>
        <w:t xml:space="preserve">Cette promesse se traduit concrètement par trois résultats mesurables pour nos clients :</w:t>
      </w:r>
    </w:p>
    <w:p>
      <w:pPr>
        <w:pStyle w:val="ListParagraph"/>
        <w:numPr>
          <w:ilvl w:val="0"/>
          <w:numId w:val="2"/>
        </w:numPr>
        <w:spacing w:before="100" w:after="60"/>
      </w:pPr>
      <w:r>
        <w:rPr>
          <w:rFonts w:ascii="Arial" w:cs="Arial" w:eastAsia="Arial" w:hAnsi="Arial"/>
          <w:b/>
          <w:bCs/>
          <w:color w:val="1A1A2E"/>
          <w:sz w:val="22"/>
          <w:szCs w:val="22"/>
        </w:rPr>
        <w:t xml:space="preserve">Messaging clair</w:t>
      </w:r>
      <w:r>
        <w:rPr>
          <w:rFonts w:ascii="Arial" w:cs="Arial" w:eastAsia="Arial" w:hAnsi="Arial"/>
          <w:color w:val="333333"/>
          <w:sz w:val="22"/>
          <w:szCs w:val="22"/>
        </w:rPr>
        <w:t xml:space="preserve"> — Vos prospects comprennent ce que vous vendez en 5 secondes.</w:t>
      </w:r>
    </w:p>
    <w:p>
      <w:pPr>
        <w:pStyle w:val="ListParagraph"/>
        <w:numPr>
          <w:ilvl w:val="0"/>
          <w:numId w:val="2"/>
        </w:numPr>
        <w:spacing w:before="60" w:after="60"/>
      </w:pPr>
      <w:r>
        <w:rPr>
          <w:rFonts w:ascii="Arial" w:cs="Arial" w:eastAsia="Arial" w:hAnsi="Arial"/>
          <w:b/>
          <w:bCs/>
          <w:color w:val="1A1A2E"/>
          <w:sz w:val="22"/>
          <w:szCs w:val="22"/>
        </w:rPr>
        <w:t xml:space="preserve">Positionnement distinctif</w:t>
      </w:r>
      <w:r>
        <w:rPr>
          <w:rFonts w:ascii="Arial" w:cs="Arial" w:eastAsia="Arial" w:hAnsi="Arial"/>
          <w:color w:val="333333"/>
          <w:sz w:val="22"/>
          <w:szCs w:val="22"/>
        </w:rPr>
        <w:t xml:space="preserve"> — On sait pourquoi vous et pas un autre.</w:t>
      </w:r>
    </w:p>
    <w:p>
      <w:pPr>
        <w:pStyle w:val="ListParagraph"/>
        <w:numPr>
          <w:ilvl w:val="0"/>
          <w:numId w:val="2"/>
        </w:numPr>
        <w:spacing w:before="60" w:after="100"/>
      </w:pPr>
      <w:r>
        <w:rPr>
          <w:rFonts w:ascii="Arial" w:cs="Arial" w:eastAsia="Arial" w:hAnsi="Arial"/>
          <w:b/>
          <w:bCs/>
          <w:color w:val="1A1A2E"/>
          <w:sz w:val="22"/>
          <w:szCs w:val="22"/>
        </w:rPr>
        <w:t xml:space="preserve">Tunnel de vente aligné</w:t>
      </w:r>
      <w:r>
        <w:rPr>
          <w:rFonts w:ascii="Arial" w:cs="Arial" w:eastAsia="Arial" w:hAnsi="Arial"/>
          <w:color w:val="333333"/>
          <w:sz w:val="22"/>
          <w:szCs w:val="22"/>
        </w:rPr>
        <w:t xml:space="preserve"> — De la pub au closing, chaque point de contact porte le même message.</w:t>
      </w:r>
    </w:p>
    <w:p>
      <w:pPr>
        <w:pStyle w:val="Heading2"/>
        <w:spacing w:before="300" w:after="100"/>
      </w:pPr>
      <w:r>
        <w:rPr>
          <w:rFonts w:ascii="Arial" w:cs="Arial" w:eastAsia="Arial" w:hAnsi="Arial"/>
          <w:b/>
          <w:bCs/>
          <w:color w:val="1A1A2E"/>
          <w:sz w:val="26"/>
          <w:szCs w:val="26"/>
        </w:rPr>
        <w:t xml:space="preserve">Pourquoi « marketing produit » et pas « marketing stratégique »</w:t>
      </w:r>
    </w:p>
    <w:p>
      <w:pPr>
        <w:spacing w:before="80" w:after="80"/>
        <w:jc w:val="left"/>
      </w:pPr>
      <w:r>
        <w:rPr>
          <w:rFonts w:ascii="Arial" w:cs="Arial" w:eastAsia="Arial" w:hAnsi="Arial"/>
          <w:b w:val="false"/>
          <w:bCs w:val="false"/>
          <w:i w:val="false"/>
          <w:iCs w:val="false"/>
          <w:color w:val="333333"/>
          <w:sz w:val="22"/>
          <w:szCs w:val="22"/>
        </w:rPr>
        <w:t xml:space="preserve">« Marketing stratégique » est un terme fourre-tout en France. Tout le monde s’en revendique, des freelances aux cabinets de conseil. Le terme ne crée aucune différenciation et force à expliquer ce qu’on fait réellement, ce qui rallonge le cycle de vente.</w:t>
      </w:r>
    </w:p>
    <w:p>
      <w:pPr>
        <w:spacing w:before="80" w:after="80"/>
        <w:jc w:val="left"/>
      </w:pPr>
      <w:r>
        <w:rPr>
          <w:rFonts w:ascii="Arial" w:cs="Arial" w:eastAsia="Arial" w:hAnsi="Arial"/>
          <w:b w:val="false"/>
          <w:bCs w:val="false"/>
          <w:i w:val="false"/>
          <w:iCs w:val="false"/>
          <w:color w:val="333333"/>
          <w:sz w:val="22"/>
          <w:szCs w:val="22"/>
        </w:rPr>
        <w:t xml:space="preserve">« Marketing produit » est précis. Dans l’écosystème B2B/SaaS, le terme est immédiatement compris : positioning, messaging, go-to-market, sales enablement. Pour les clients hors tech, le concept se traduit naturellement : on aide à mieux vendre ce que vous faites déjà bien.</w:t>
      </w:r>
    </w:p>
    <w:p>
      <w:pPr>
        <w:pStyle w:val="Heading2"/>
        <w:spacing w:before="300" w:after="100"/>
      </w:pPr>
      <w:r>
        <w:rPr>
          <w:rFonts w:ascii="Arial" w:cs="Arial" w:eastAsia="Arial" w:hAnsi="Arial"/>
          <w:b/>
          <w:bCs/>
          <w:color w:val="1A1A2E"/>
          <w:sz w:val="26"/>
          <w:szCs w:val="26"/>
        </w:rPr>
        <w:t xml:space="preserve">Notre différenciation</w:t>
      </w:r>
    </w:p>
    <w:p>
      <w:pPr>
        <w:spacing w:before="80" w:after="80"/>
        <w:jc w:val="left"/>
      </w:pPr>
      <w:r>
        <w:rPr>
          <w:rFonts w:ascii="Arial" w:cs="Arial" w:eastAsia="Arial" w:hAnsi="Arial"/>
          <w:b w:val="false"/>
          <w:bCs w:val="false"/>
          <w:i w:val="false"/>
          <w:iCs w:val="false"/>
          <w:color w:val="333333"/>
          <w:sz w:val="22"/>
          <w:szCs w:val="22"/>
        </w:rPr>
        <w:t xml:space="preserve">La plupart des agences de « product marketing » en France visent exclusivement la tech et le SaaS. Vizion applique la même rigueur méthodologique à des secteurs plus traditionnels : franchises, services B2B, ETI industrielles. Ces entreprises ont les mêmes besoins de clarté et de conversion, mais sont largement sous-servies par le marché actuel.</w:t>
      </w:r>
    </w:p>
    <w:p>
      <w:pPr>
        <w:spacing w:before="80" w:after="80"/>
        <w:jc w:val="left"/>
      </w:pPr>
      <w:r>
        <w:rPr>
          <w:rFonts w:ascii="Arial" w:cs="Arial" w:eastAsia="Arial" w:hAnsi="Arial"/>
          <w:b w:val="false"/>
          <w:bCs w:val="false"/>
          <w:i w:val="false"/>
          <w:iCs w:val="false"/>
          <w:color w:val="333333"/>
          <w:sz w:val="22"/>
          <w:szCs w:val="22"/>
        </w:rPr>
        <w:t xml:space="preserve">Autre atout distinctif : notre expertise LinkedIn. Avec un cofondateur ex-top 300 France sur la plateforme, Vizion propose un service de notoriété LinkedIn pour les dirigeants. Parce que dans le B2B, la crédibilité du fondateur ou du directeur commercial est souvent le premier levier de conversion.</w:t>
      </w:r>
    </w:p>
    <w:p>
      <w:r>
        <w:br w:type="page"/>
      </w:r>
    </w:p>
    <w:p>
      <w:pPr>
        <w:pStyle w:val="Heading1"/>
        <w:spacing w:before="400" w:after="100"/>
      </w:pPr>
      <w:r>
        <w:rPr>
          <w:rFonts w:ascii="Arial" w:cs="Arial" w:eastAsia="Arial" w:hAnsi="Arial"/>
          <w:b/>
          <w:bCs/>
          <w:color w:val="0F3460"/>
          <w:sz w:val="32"/>
          <w:szCs w:val="32"/>
        </w:rPr>
        <w:t xml:space="preserve">3. LE TUNNEL DE VENTE VIZION</w:t>
      </w:r>
    </w:p>
    <w:p>
      <w:pPr>
        <w:spacing w:before="0" w:after="200"/>
      </w:pPr>
      <w:r>
        <w:rPr>
          <w:rFonts w:ascii="Arial" w:cs="Arial" w:eastAsia="Arial" w:hAnsi="Arial"/>
          <w:color w:val="E94560"/>
          <w:sz w:val="20"/>
          <w:szCs w:val="20"/>
        </w:rPr>
        <w:t xml:space="preserve">━━━━━━━━━━</w:t>
      </w:r>
    </w:p>
    <w:p>
      <w:pPr>
        <w:spacing w:before="80" w:after="80"/>
        <w:jc w:val="left"/>
      </w:pPr>
      <w:r>
        <w:rPr>
          <w:rFonts w:ascii="Arial" w:cs="Arial" w:eastAsia="Arial" w:hAnsi="Arial"/>
          <w:b w:val="false"/>
          <w:bCs w:val="false"/>
          <w:i w:val="false"/>
          <w:iCs w:val="false"/>
          <w:color w:val="333333"/>
          <w:sz w:val="22"/>
          <w:szCs w:val="22"/>
        </w:rPr>
        <w:t xml:space="preserve">Notre approche couvre l’intégralité du parcours de conversion, de la première impression publicitaire jusqu’au closing commercial. Chaque étape est pensée comme un maillon d’une chaîne cohérente où le message reste constant et s’affine progressivement.</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ÉTAPE</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ACTION VIZION</w:t>
            </w:r>
          </w:p>
        </w:tc>
        <w:tc>
          <w:tcPr>
            <w:tcW w:type="dxa" w:w="4826"/>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DÉTAIL</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E94560"/>
                <w:sz w:val="18"/>
                <w:szCs w:val="18"/>
              </w:rPr>
              <w:t xml:space="preserve">POSITIONNEMENT</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333333"/>
                <w:sz w:val="20"/>
                <w:szCs w:val="20"/>
              </w:rPr>
              <w:t xml:space="preserve">Discours marketing</w:t>
            </w:r>
          </w:p>
        </w:tc>
        <w:tc>
          <w:tcPr>
            <w:tcW w:type="dxa" w:w="48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19"/>
                <w:szCs w:val="19"/>
              </w:rPr>
              <w:t xml:space="preserve">Définition du positionnement produit, de la proposition de valeur et du messaging par segment. C’est le socle : tout le reste en découle. Sans positionnement clair, les pubs et les commerciaux improvisent.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E94560"/>
                <w:sz w:val="18"/>
                <w:szCs w:val="18"/>
              </w:rPr>
              <w:t xml:space="preserve">AWARENESS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333333"/>
                <w:sz w:val="20"/>
                <w:szCs w:val="20"/>
              </w:rPr>
              <w:t xml:space="preserve">Campagnes pub &amp; notoriété</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Création de messages forts et testés (Meta, Google Ads, LinkedIn Ads). A/B testing des angles et accroches. Stratégie de notoriété LinkedIn pour les dirigeants (personal branding, thought leadership).</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E94560"/>
                <w:sz w:val="18"/>
                <w:szCs w:val="18"/>
              </w:rPr>
              <w:t xml:space="preserve">INTÉRÊT</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333333"/>
                <w:sz w:val="20"/>
                <w:szCs w:val="20"/>
              </w:rPr>
              <w:t xml:space="preserve">Sites web &amp; landing pages</w:t>
            </w:r>
          </w:p>
        </w:tc>
        <w:tc>
          <w:tcPr>
            <w:tcW w:type="dxa" w:w="48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19"/>
                <w:szCs w:val="19"/>
              </w:rPr>
              <w:t xml:space="preserve">Sites produit et pages d’atterrissage optimisées pour la conversion. SEO pour positionner le produit sur les requêtes clés. Copywriting centré sur le problème du prospect, pas sur les features.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E94560"/>
                <w:sz w:val="18"/>
                <w:szCs w:val="18"/>
              </w:rPr>
              <w:t xml:space="preserve">CONSIDÉRATION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333333"/>
                <w:sz w:val="20"/>
                <w:szCs w:val="20"/>
              </w:rPr>
              <w:t xml:space="preserve">Nurturing &amp; preuve</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Études de cas, témoignages, séquences email. Le prospect reçoit les bons arguments au bon moment pour lever ses objections.</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E94560"/>
                <w:sz w:val="18"/>
                <w:szCs w:val="18"/>
              </w:rPr>
              <w:t xml:space="preserve">DÉCISION</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333333"/>
                <w:sz w:val="20"/>
                <w:szCs w:val="20"/>
              </w:rPr>
              <w:t xml:space="preserve">Sales enablement</w:t>
            </w:r>
          </w:p>
        </w:tc>
        <w:tc>
          <w:tcPr>
            <w:tcW w:type="dxa" w:w="4826"/>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19"/>
                <w:szCs w:val="19"/>
              </w:rPr>
              <w:t xml:space="preserve">Supports de vente pour les commerciaux : decks, battle cards, scripts d’appel, objection handling. Le commercial pitch avec les mêmes mots que la pub.</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E94560"/>
                <w:sz w:val="18"/>
                <w:szCs w:val="18"/>
              </w:rPr>
              <w:t xml:space="preserve">CLOSING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333333"/>
                <w:sz w:val="20"/>
                <w:szCs w:val="20"/>
              </w:rPr>
              <w:t xml:space="preserve">Outils de conversion</w:t>
            </w:r>
          </w:p>
        </w:tc>
        <w:tc>
          <w:tcPr>
            <w:tcW w:type="dxa" w:w="48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Propositions commerciales structurées, outils de qualification, séquences de relance. Chaque interaction pousse vers la décision.</w:t>
            </w:r>
          </w:p>
        </w:tc>
      </w:tr>
    </w:tbl>
    <w:p>
      <w:r>
        <w:br w:type="page"/>
      </w:r>
    </w:p>
    <w:p>
      <w:pPr>
        <w:pStyle w:val="Heading1"/>
        <w:spacing w:before="400" w:after="100"/>
      </w:pPr>
      <w:r>
        <w:rPr>
          <w:rFonts w:ascii="Arial" w:cs="Arial" w:eastAsia="Arial" w:hAnsi="Arial"/>
          <w:b/>
          <w:bCs/>
          <w:color w:val="0F3460"/>
          <w:sz w:val="32"/>
          <w:szCs w:val="32"/>
        </w:rPr>
        <w:t xml:space="preserve">4. L’IMPACT SUR LES COMMERCIAUX</w:t>
      </w:r>
    </w:p>
    <w:p>
      <w:pPr>
        <w:spacing w:before="0" w:after="200"/>
      </w:pPr>
      <w:r>
        <w:rPr>
          <w:rFonts w:ascii="Arial" w:cs="Arial" w:eastAsia="Arial" w:hAnsi="Arial"/>
          <w:color w:val="E94560"/>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F5F5F5" w:val="clear"/>
            <w:tcMar>
              <w:top w:type="dxa" w:w="150"/>
              <w:left w:type="dxa" w:w="200"/>
              <w:bottom w:type="dxa" w:w="150"/>
              <w:right w:type="dxa" w:w="200"/>
            </w:tcMar>
          </w:tcPr>
          <w:p>
            <w:pPr>
              <w:jc w:val="center"/>
            </w:pPr>
            <w:r>
              <w:rPr>
                <w:rFonts w:ascii="Arial" w:cs="Arial" w:eastAsia="Arial" w:hAnsi="Arial"/>
                <w:b/>
                <w:bCs/>
                <w:color w:val="1A1A2E"/>
                <w:sz w:val="24"/>
                <w:szCs w:val="24"/>
              </w:rPr>
              <w:t xml:space="preserve">Le marketing produit ne s’arrête pas à la génération de leads. Il arme les commerciaux pour closer.</w:t>
            </w:r>
          </w:p>
        </w:tc>
      </w:tr>
    </w:tbl>
    <w:p>
      <w:pPr>
        <w:spacing w:before="200"/>
      </w:pPr>
    </w:p>
    <w:p>
      <w:pPr>
        <w:spacing w:before="80" w:after="80"/>
        <w:jc w:val="left"/>
      </w:pPr>
      <w:r>
        <w:rPr>
          <w:rFonts w:ascii="Arial" w:cs="Arial" w:eastAsia="Arial" w:hAnsi="Arial"/>
          <w:b w:val="false"/>
          <w:bCs w:val="false"/>
          <w:i w:val="false"/>
          <w:iCs w:val="false"/>
          <w:color w:val="333333"/>
          <w:sz w:val="22"/>
          <w:szCs w:val="22"/>
        </w:rPr>
        <w:t xml:space="preserve">Le problème classique dans la plupart des entreprises B2B : le marketing génère des leads, les commerciaux pitchent avec leurs propres mots, et le prospect reçoit deux discours différents. Le taux de conversion s’effondre.</w:t>
      </w:r>
    </w:p>
    <w:p>
      <w:pPr>
        <w:spacing w:before="80" w:after="80"/>
        <w:jc w:val="left"/>
      </w:pPr>
      <w:r>
        <w:rPr>
          <w:rFonts w:ascii="Arial" w:cs="Arial" w:eastAsia="Arial" w:hAnsi="Arial"/>
          <w:b w:val="false"/>
          <w:bCs w:val="false"/>
          <w:i w:val="false"/>
          <w:iCs w:val="false"/>
          <w:color w:val="333333"/>
          <w:sz w:val="22"/>
          <w:szCs w:val="22"/>
        </w:rPr>
        <w:t xml:space="preserve">Vizion résout ce problème en créant un continuum entre le message publicitaire et le pitch commercial. Le prospect qui a cliqué sur une pub retrouve exactement les mêmes promesses et le même langage quand il échange avec un commercial.</w:t>
      </w:r>
    </w:p>
    <w:p>
      <w:pPr>
        <w:pStyle w:val="Heading2"/>
        <w:spacing w:before="300" w:after="100"/>
      </w:pPr>
      <w:r>
        <w:rPr>
          <w:rFonts w:ascii="Arial" w:cs="Arial" w:eastAsia="Arial" w:hAnsi="Arial"/>
          <w:b/>
          <w:bCs/>
          <w:color w:val="1A1A2E"/>
          <w:sz w:val="26"/>
          <w:szCs w:val="26"/>
        </w:rPr>
        <w:t xml:space="preserve">Ce qu’on livre aux équipes commerciales</w:t>
      </w:r>
    </w:p>
    <w:p>
      <w:pPr>
        <w:pStyle w:val="ListParagraph"/>
        <w:numPr>
          <w:ilvl w:val="0"/>
          <w:numId w:val="3"/>
        </w:numPr>
        <w:spacing w:before="100" w:after="60"/>
      </w:pPr>
      <w:r>
        <w:rPr>
          <w:rFonts w:ascii="Arial" w:cs="Arial" w:eastAsia="Arial" w:hAnsi="Arial"/>
          <w:b/>
          <w:bCs/>
          <w:sz w:val="22"/>
          <w:szCs w:val="22"/>
        </w:rPr>
        <w:t xml:space="preserve">Pitch decks alignés</w:t>
      </w:r>
      <w:r>
        <w:rPr>
          <w:rFonts w:ascii="Arial" w:cs="Arial" w:eastAsia="Arial" w:hAnsi="Arial"/>
          <w:color w:val="333333"/>
          <w:sz w:val="22"/>
          <w:szCs w:val="22"/>
        </w:rPr>
        <w:t xml:space="preserve"> — Présentations commerciales qui reprennent les mêmes angles que les campagnes pub. Le prospect reconnaît le discours, la confiance s’installe.</w:t>
      </w:r>
    </w:p>
    <w:p>
      <w:pPr>
        <w:pStyle w:val="ListParagraph"/>
        <w:numPr>
          <w:ilvl w:val="0"/>
          <w:numId w:val="3"/>
        </w:numPr>
        <w:spacing w:before="60" w:after="60"/>
      </w:pPr>
      <w:r>
        <w:rPr>
          <w:rFonts w:ascii="Arial" w:cs="Arial" w:eastAsia="Arial" w:hAnsi="Arial"/>
          <w:b/>
          <w:bCs/>
          <w:sz w:val="22"/>
          <w:szCs w:val="22"/>
        </w:rPr>
        <w:t xml:space="preserve">Battle cards</w:t>
      </w:r>
      <w:r>
        <w:rPr>
          <w:rFonts w:ascii="Arial" w:cs="Arial" w:eastAsia="Arial" w:hAnsi="Arial"/>
          <w:color w:val="333333"/>
          <w:sz w:val="22"/>
          <w:szCs w:val="22"/>
        </w:rPr>
        <w:t xml:space="preserve"> — Fiches de positionnement concurrentiel. Pour chaque concurrent, les arguments clés et les angles de différenciation à utiliser.</w:t>
      </w:r>
    </w:p>
    <w:p>
      <w:pPr>
        <w:pStyle w:val="ListParagraph"/>
        <w:numPr>
          <w:ilvl w:val="0"/>
          <w:numId w:val="3"/>
        </w:numPr>
        <w:spacing w:before="60" w:after="60"/>
      </w:pPr>
      <w:r>
        <w:rPr>
          <w:rFonts w:ascii="Arial" w:cs="Arial" w:eastAsia="Arial" w:hAnsi="Arial"/>
          <w:b/>
          <w:bCs/>
          <w:sz w:val="22"/>
          <w:szCs w:val="22"/>
        </w:rPr>
        <w:t xml:space="preserve">Scripts et guides d’appel</w:t>
      </w:r>
      <w:r>
        <w:rPr>
          <w:rFonts w:ascii="Arial" w:cs="Arial" w:eastAsia="Arial" w:hAnsi="Arial"/>
          <w:color w:val="333333"/>
          <w:sz w:val="22"/>
          <w:szCs w:val="22"/>
        </w:rPr>
        <w:t xml:space="preserve"> — Trames de conversation adaptées par segment de client. Les questions à poser, les objections à anticiper, les réponses à donner.</w:t>
      </w:r>
    </w:p>
    <w:p>
      <w:pPr>
        <w:pStyle w:val="ListParagraph"/>
        <w:numPr>
          <w:ilvl w:val="0"/>
          <w:numId w:val="3"/>
        </w:numPr>
        <w:spacing w:before="60" w:after="60"/>
      </w:pPr>
      <w:r>
        <w:rPr>
          <w:rFonts w:ascii="Arial" w:cs="Arial" w:eastAsia="Arial" w:hAnsi="Arial"/>
          <w:b/>
          <w:bCs/>
          <w:sz w:val="22"/>
          <w:szCs w:val="22"/>
        </w:rPr>
        <w:t xml:space="preserve">Objection handling</w:t>
      </w:r>
      <w:r>
        <w:rPr>
          <w:rFonts w:ascii="Arial" w:cs="Arial" w:eastAsia="Arial" w:hAnsi="Arial"/>
          <w:color w:val="333333"/>
          <w:sz w:val="22"/>
          <w:szCs w:val="22"/>
        </w:rPr>
        <w:t xml:space="preserve"> — Les 10-15 objections les plus fréquentes avec des réponses testées et validées. Le commercial n’improvise plus.</w:t>
      </w:r>
    </w:p>
    <w:p>
      <w:pPr>
        <w:pStyle w:val="ListParagraph"/>
        <w:numPr>
          <w:ilvl w:val="0"/>
          <w:numId w:val="3"/>
        </w:numPr>
        <w:spacing w:before="60" w:after="100"/>
      </w:pPr>
      <w:r>
        <w:rPr>
          <w:rFonts w:ascii="Arial" w:cs="Arial" w:eastAsia="Arial" w:hAnsi="Arial"/>
          <w:b/>
          <w:bCs/>
          <w:sz w:val="22"/>
          <w:szCs w:val="22"/>
        </w:rPr>
        <w:t xml:space="preserve">Séquences de relance</w:t>
      </w:r>
      <w:r>
        <w:rPr>
          <w:rFonts w:ascii="Arial" w:cs="Arial" w:eastAsia="Arial" w:hAnsi="Arial"/>
          <w:color w:val="333333"/>
          <w:sz w:val="22"/>
          <w:szCs w:val="22"/>
        </w:rPr>
        <w:t xml:space="preserve"> — Emails et messages de follow-up post-rendez-vous, calibrés pour maintenir l’urgence sans être intrusifs.</w:t>
      </w:r>
    </w:p>
    <w:p>
      <w:pPr>
        <w:pStyle w:val="Heading2"/>
        <w:spacing w:before="300" w:after="100"/>
      </w:pPr>
      <w:r>
        <w:rPr>
          <w:rFonts w:ascii="Arial" w:cs="Arial" w:eastAsia="Arial" w:hAnsi="Arial"/>
          <w:b/>
          <w:bCs/>
          <w:color w:val="1A1A2E"/>
          <w:sz w:val="26"/>
          <w:szCs w:val="26"/>
        </w:rPr>
        <w:t xml:space="preserve">Le principe clé : un seul message, du clic au closing</w:t>
      </w:r>
    </w:p>
    <w:p>
      <w:pPr>
        <w:spacing w:before="80" w:after="80"/>
        <w:jc w:val="left"/>
      </w:pPr>
      <w:r>
        <w:rPr>
          <w:rFonts w:ascii="Arial" w:cs="Arial" w:eastAsia="Arial" w:hAnsi="Arial"/>
          <w:b w:val="false"/>
          <w:bCs w:val="false"/>
          <w:i w:val="false"/>
          <w:iCs w:val="false"/>
          <w:color w:val="333333"/>
          <w:sz w:val="22"/>
          <w:szCs w:val="22"/>
        </w:rPr>
        <w:t xml:space="preserve">Quand un prospect voit une publicité qui dit « Simplifiez votre gestion X », le commercial doit ouvrir son appel sur la simplification de la gestion X. Pas sur les features du produit, pas sur l’historique de l’entreprise. Le message publicitaire est la promesse. Le commercial est la preuve que cette promesse est tenable.</w:t>
      </w:r>
    </w:p>
    <w:p>
      <w:r>
        <w:br w:type="page"/>
      </w:r>
    </w:p>
    <w:p>
      <w:pPr>
        <w:pStyle w:val="Heading1"/>
        <w:spacing w:before="400" w:after="100"/>
      </w:pPr>
      <w:r>
        <w:rPr>
          <w:rFonts w:ascii="Arial" w:cs="Arial" w:eastAsia="Arial" w:hAnsi="Arial"/>
          <w:b/>
          <w:bCs/>
          <w:color w:val="0F3460"/>
          <w:sz w:val="32"/>
          <w:szCs w:val="32"/>
        </w:rPr>
        <w:t xml:space="preserve">5. CAMPAGNES PUBLICITAIRES</w:t>
      </w:r>
    </w:p>
    <w:p>
      <w:pPr>
        <w:spacing w:before="0" w:after="200"/>
      </w:pPr>
      <w:r>
        <w:rPr>
          <w:rFonts w:ascii="Arial" w:cs="Arial" w:eastAsia="Arial" w:hAnsi="Arial"/>
          <w:color w:val="E94560"/>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F5F5F5" w:val="clear"/>
            <w:tcMar>
              <w:top w:type="dxa" w:w="150"/>
              <w:left w:type="dxa" w:w="200"/>
              <w:bottom w:type="dxa" w:w="150"/>
              <w:right w:type="dxa" w:w="200"/>
            </w:tcMar>
          </w:tcPr>
          <w:p>
            <w:pPr>
              <w:jc w:val="center"/>
            </w:pPr>
            <w:r>
              <w:rPr>
                <w:rFonts w:ascii="Arial" w:cs="Arial" w:eastAsia="Arial" w:hAnsi="Arial"/>
                <w:b/>
                <w:bCs/>
                <w:color w:val="1A1A2E"/>
                <w:sz w:val="24"/>
                <w:szCs w:val="24"/>
              </w:rPr>
              <w:t xml:space="preserve">Des messages forts, testés, itérés. Pas des visuels jolis qui ne convertissent pas.</w:t>
            </w:r>
          </w:p>
        </w:tc>
      </w:tr>
    </w:tbl>
    <w:p>
      <w:pPr>
        <w:spacing w:before="200"/>
      </w:pPr>
    </w:p>
    <w:p>
      <w:pPr>
        <w:spacing w:before="80" w:after="80"/>
        <w:jc w:val="left"/>
      </w:pPr>
      <w:r>
        <w:rPr>
          <w:rFonts w:ascii="Arial" w:cs="Arial" w:eastAsia="Arial" w:hAnsi="Arial"/>
          <w:b w:val="false"/>
          <w:bCs w:val="false"/>
          <w:i w:val="false"/>
          <w:iCs w:val="false"/>
          <w:color w:val="333333"/>
          <w:sz w:val="22"/>
          <w:szCs w:val="22"/>
        </w:rPr>
        <w:t xml:space="preserve">Les campagnes publicitaires Vizion ne sont pas un service isolé. Elles sont le point d’entrée du tunnel de vente. Chaque campagne est construite sur le positionnement et le messaging définis en amont, et alimentée par les retours du terrain (commerciaux, prospects, données de conversion).</w:t>
      </w:r>
    </w:p>
    <w:p>
      <w:pPr>
        <w:pStyle w:val="Heading2"/>
        <w:spacing w:before="300" w:after="100"/>
      </w:pPr>
      <w:r>
        <w:rPr>
          <w:rFonts w:ascii="Arial" w:cs="Arial" w:eastAsia="Arial" w:hAnsi="Arial"/>
          <w:b/>
          <w:bCs/>
          <w:color w:val="1A1A2E"/>
          <w:sz w:val="26"/>
          <w:szCs w:val="26"/>
        </w:rPr>
        <w:t xml:space="preserve">Notre méthode publicitaire</w:t>
      </w:r>
    </w:p>
    <w:p>
      <w:pPr>
        <w:pStyle w:val="ListParagraph"/>
        <w:numPr>
          <w:ilvl w:val="0"/>
          <w:numId w:val="2"/>
        </w:numPr>
        <w:spacing w:before="100" w:after="60"/>
      </w:pPr>
      <w:r>
        <w:rPr>
          <w:rFonts w:ascii="Arial" w:cs="Arial" w:eastAsia="Arial" w:hAnsi="Arial"/>
          <w:b/>
          <w:bCs/>
          <w:sz w:val="22"/>
          <w:szCs w:val="22"/>
        </w:rPr>
        <w:t xml:space="preserve">Définition des angles</w:t>
      </w:r>
      <w:r>
        <w:rPr>
          <w:rFonts w:ascii="Arial" w:cs="Arial" w:eastAsia="Arial" w:hAnsi="Arial"/>
          <w:color w:val="333333"/>
          <w:sz w:val="22"/>
          <w:szCs w:val="22"/>
        </w:rPr>
        <w:t xml:space="preserve"> — À partir du positionnement, on identifie 3 à 5 angles d’attaque différents. Chaque angle adresse un problème spécifique du prospect.</w:t>
      </w:r>
    </w:p>
    <w:p>
      <w:pPr>
        <w:pStyle w:val="ListParagraph"/>
        <w:numPr>
          <w:ilvl w:val="0"/>
          <w:numId w:val="2"/>
        </w:numPr>
        <w:spacing w:before="60" w:after="60"/>
      </w:pPr>
      <w:r>
        <w:rPr>
          <w:rFonts w:ascii="Arial" w:cs="Arial" w:eastAsia="Arial" w:hAnsi="Arial"/>
          <w:b/>
          <w:bCs/>
          <w:sz w:val="22"/>
          <w:szCs w:val="22"/>
        </w:rPr>
        <w:t xml:space="preserve">Création des messages</w:t>
      </w:r>
      <w:r>
        <w:rPr>
          <w:rFonts w:ascii="Arial" w:cs="Arial" w:eastAsia="Arial" w:hAnsi="Arial"/>
          <w:color w:val="333333"/>
          <w:sz w:val="22"/>
          <w:szCs w:val="22"/>
        </w:rPr>
        <w:t xml:space="preserve"> — Copywriting direct, centré sur le bénéfice client. On écrit comme les prospects parlent, pas comme l’entreprise pense.</w:t>
      </w:r>
    </w:p>
    <w:p>
      <w:pPr>
        <w:pStyle w:val="ListParagraph"/>
        <w:numPr>
          <w:ilvl w:val="0"/>
          <w:numId w:val="2"/>
        </w:numPr>
        <w:spacing w:before="60" w:after="60"/>
      </w:pPr>
      <w:r>
        <w:rPr>
          <w:rFonts w:ascii="Arial" w:cs="Arial" w:eastAsia="Arial" w:hAnsi="Arial"/>
          <w:b/>
          <w:bCs/>
          <w:sz w:val="22"/>
          <w:szCs w:val="22"/>
        </w:rPr>
        <w:t xml:space="preserve">Test &amp; itération</w:t>
      </w:r>
      <w:r>
        <w:rPr>
          <w:rFonts w:ascii="Arial" w:cs="Arial" w:eastAsia="Arial" w:hAnsi="Arial"/>
          <w:color w:val="333333"/>
          <w:sz w:val="22"/>
          <w:szCs w:val="22"/>
        </w:rPr>
        <w:t xml:space="preserve"> — A/B testing systématique des accroches, visuels et CTA. Les données décident, pas les opinions. Les messages qui convertissent sont remontés aux commerciaux.</w:t>
      </w:r>
    </w:p>
    <w:p>
      <w:pPr>
        <w:pStyle w:val="ListParagraph"/>
        <w:numPr>
          <w:ilvl w:val="0"/>
          <w:numId w:val="2"/>
        </w:numPr>
        <w:spacing w:before="60" w:after="100"/>
      </w:pPr>
      <w:r>
        <w:rPr>
          <w:rFonts w:ascii="Arial" w:cs="Arial" w:eastAsia="Arial" w:hAnsi="Arial"/>
          <w:b/>
          <w:bCs/>
          <w:sz w:val="22"/>
          <w:szCs w:val="22"/>
        </w:rPr>
        <w:t xml:space="preserve">Boucle de feedback</w:t>
      </w:r>
      <w:r>
        <w:rPr>
          <w:rFonts w:ascii="Arial" w:cs="Arial" w:eastAsia="Arial" w:hAnsi="Arial"/>
          <w:color w:val="333333"/>
          <w:sz w:val="22"/>
          <w:szCs w:val="22"/>
        </w:rPr>
        <w:t xml:space="preserve"> — Les objections remontées par les commerciaux alimentent les prochaines campagnes. Les angles qui fonctionnent en pub sont intégrés dans les supports de vente.</w:t>
      </w:r>
    </w:p>
    <w:p>
      <w:pPr>
        <w:pStyle w:val="Heading2"/>
        <w:spacing w:before="300" w:after="100"/>
      </w:pPr>
      <w:r>
        <w:rPr>
          <w:rFonts w:ascii="Arial" w:cs="Arial" w:eastAsia="Arial" w:hAnsi="Arial"/>
          <w:b/>
          <w:bCs/>
          <w:color w:val="1A1A2E"/>
          <w:sz w:val="26"/>
          <w:szCs w:val="26"/>
        </w:rPr>
        <w:t xml:space="preserve">Canaux maîtrisés</w:t>
      </w:r>
    </w:p>
    <w:p>
      <w:pPr>
        <w:spacing w:before="80" w:after="80"/>
        <w:jc w:val="left"/>
      </w:pPr>
      <w:r>
        <w:rPr>
          <w:rFonts w:ascii="Arial" w:cs="Arial" w:eastAsia="Arial" w:hAnsi="Arial"/>
          <w:b w:val="false"/>
          <w:bCs w:val="false"/>
          <w:i w:val="false"/>
          <w:iCs w:val="false"/>
          <w:color w:val="333333"/>
          <w:sz w:val="22"/>
          <w:szCs w:val="22"/>
        </w:rPr>
        <w:t xml:space="preserve">Meta Ads (Facebook, Instagram) pour le ciblage comportemental et la génération de leads. Google Ads pour capter l’intention de recherche. LinkedIn Ads pour le ciblage B2B précis par poste, secteur et taille d’entreprise. Chaque canal est utilisé selon l’objectif et le segment visé, jamais par défaut.</w:t>
      </w:r>
    </w:p>
    <w:p>
      <w:pPr>
        <w:pStyle w:val="Heading2"/>
        <w:spacing w:before="300" w:after="100"/>
      </w:pPr>
      <w:r>
        <w:rPr>
          <w:rFonts w:ascii="Arial" w:cs="Arial" w:eastAsia="Arial" w:hAnsi="Arial"/>
          <w:b/>
          <w:bCs/>
          <w:color w:val="1A1A2E"/>
          <w:sz w:val="26"/>
          <w:szCs w:val="26"/>
        </w:rPr>
        <w:t xml:space="preserve">Le lien pub → commercial</w:t>
      </w:r>
    </w:p>
    <w:p>
      <w:pPr>
        <w:spacing w:before="80" w:after="80"/>
        <w:jc w:val="left"/>
      </w:pPr>
      <w:r>
        <w:rPr>
          <w:rFonts w:ascii="Arial" w:cs="Arial" w:eastAsia="Arial" w:hAnsi="Arial"/>
          <w:b w:val="false"/>
          <w:bCs w:val="false"/>
          <w:i w:val="false"/>
          <w:iCs w:val="false"/>
          <w:color w:val="333333"/>
          <w:sz w:val="22"/>
          <w:szCs w:val="22"/>
        </w:rPr>
        <w:t xml:space="preserve">Chaque campagne publicitaire produit deux livrables : les publicités elles-mêmes (pour le marché), et un brief commercial (pour l’équipe de vente). Ce brief contient les messages qui fonctionnent le mieux, les segments qui répondent, et les angles à utiliser en rendez-vous. Les commerciaux savent exactement ce que le prospect a vu avant de les appeler.</w:t>
      </w:r>
    </w:p>
    <w:p>
      <w:r>
        <w:br w:type="page"/>
      </w:r>
    </w:p>
    <w:p>
      <w:pPr>
        <w:pStyle w:val="Heading1"/>
        <w:spacing w:before="400" w:after="100"/>
      </w:pPr>
      <w:r>
        <w:rPr>
          <w:rFonts w:ascii="Arial" w:cs="Arial" w:eastAsia="Arial" w:hAnsi="Arial"/>
          <w:b/>
          <w:bCs/>
          <w:color w:val="0F3460"/>
          <w:sz w:val="32"/>
          <w:szCs w:val="32"/>
        </w:rPr>
        <w:t xml:space="preserve">6. NOS SEGMENTS CLIENTS</w:t>
      </w:r>
    </w:p>
    <w:p>
      <w:pPr>
        <w:spacing w:before="0" w:after="200"/>
      </w:pPr>
      <w:r>
        <w:rPr>
          <w:rFonts w:ascii="Arial" w:cs="Arial" w:eastAsia="Arial" w:hAnsi="Arial"/>
          <w:color w:val="E94560"/>
          <w:sz w:val="20"/>
          <w:szCs w:val="20"/>
        </w:rPr>
        <w:t xml:space="preserve">━━━━━━━━━━</w:t>
      </w:r>
    </w:p>
    <w:p>
      <w:pPr>
        <w:spacing w:before="80" w:after="80"/>
        <w:jc w:val="left"/>
      </w:pPr>
      <w:r>
        <w:rPr>
          <w:rFonts w:ascii="Arial" w:cs="Arial" w:eastAsia="Arial" w:hAnsi="Arial"/>
          <w:b w:val="false"/>
          <w:bCs w:val="false"/>
          <w:i w:val="false"/>
          <w:iCs w:val="false"/>
          <w:color w:val="333333"/>
          <w:sz w:val="22"/>
          <w:szCs w:val="22"/>
        </w:rPr>
        <w:t xml:space="preserve">Vizion intervient auprès de trois typologies d’entreprises B2B, chacune avec des besoins spécifiques mais une problématique commune : transformer leur offre en évidence commerciale.</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13"/>
        <w:gridCol w:w="4413"/>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SEGMENT</w:t>
            </w:r>
          </w:p>
        </w:tc>
        <w:tc>
          <w:tcPr>
            <w:tcW w:type="dxa" w:w="2413"/>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LE « PRODUIT »</w:t>
            </w:r>
          </w:p>
        </w:tc>
        <w:tc>
          <w:tcPr>
            <w:tcW w:type="dxa" w:w="4413"/>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CE QU’ON FAIT POUR EUX</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F3460"/>
                <w:sz w:val="20"/>
                <w:szCs w:val="20"/>
              </w:rPr>
              <w:t xml:space="preserve">Startups &amp; SaaS</w:t>
            </w:r>
          </w:p>
        </w:tc>
        <w:tc>
          <w:tcPr>
            <w:tcW w:type="dxa" w:w="2413"/>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i/>
                <w:iCs/>
                <w:color w:val="333333"/>
                <w:sz w:val="20"/>
                <w:szCs w:val="20"/>
              </w:rPr>
              <w:t xml:space="preserve">Le logiciel / la plateforme</w:t>
            </w:r>
          </w:p>
        </w:tc>
        <w:tc>
          <w:tcPr>
            <w:tcW w:type="dxa" w:w="4413"/>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19"/>
                <w:szCs w:val="19"/>
              </w:rPr>
              <w:t xml:space="preserve">Positionnement, messaging, go-to-market, landing pages, campagnes d’acquisition, sales enablement pour les SDR/AE.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0F3460"/>
                <w:sz w:val="20"/>
                <w:szCs w:val="20"/>
              </w:rPr>
              <w:t xml:space="preserve">Franchises &amp; réseaux</w:t>
            </w:r>
          </w:p>
        </w:tc>
        <w:tc>
          <w:tcPr>
            <w:tcW w:type="dxa" w:w="24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i/>
                <w:iCs/>
                <w:color w:val="333333"/>
                <w:sz w:val="20"/>
                <w:szCs w:val="20"/>
              </w:rPr>
              <w:t xml:space="preserve">Le concept de franchise</w:t>
            </w:r>
          </w:p>
        </w:tc>
        <w:tc>
          <w:tcPr>
            <w:tcW w:type="dxa" w:w="441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Stratégie de recrutement franchisés, funnels de qualification, campagnes ciblées, supports de conviction pour les développeurs réseau.</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b/>
                <w:bCs/>
                <w:color w:val="0F3460"/>
                <w:sz w:val="20"/>
                <w:szCs w:val="20"/>
              </w:rPr>
              <w:t xml:space="preserve">PME / ETI B2B</w:t>
            </w:r>
          </w:p>
        </w:tc>
        <w:tc>
          <w:tcPr>
            <w:tcW w:type="dxa" w:w="2413"/>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i/>
                <w:iCs/>
                <w:color w:val="333333"/>
                <w:sz w:val="20"/>
                <w:szCs w:val="20"/>
              </w:rPr>
              <w:t xml:space="preserve">L’offre commerciale</w:t>
            </w:r>
          </w:p>
        </w:tc>
        <w:tc>
          <w:tcPr>
            <w:tcW w:type="dxa" w:w="4413"/>
            <w:tcBorders>
              <w:top w:val="single" w:color="CCCCCC" w:sz="1"/>
              <w:left w:val="single" w:color="CCCCCC" w:sz="1"/>
              <w:bottom w:val="single" w:color="CCCCCC" w:sz="1"/>
              <w:right w:val="single" w:color="CCCCCC" w:sz="1"/>
            </w:tcBorders>
            <w:shd w:fill="F5F5F5" w:val="clear"/>
            <w:tcMar>
              <w:top w:type="dxa" w:w="100"/>
              <w:left w:type="dxa" w:w="150"/>
              <w:bottom w:type="dxa" w:w="100"/>
              <w:right w:type="dxa" w:w="150"/>
            </w:tcMar>
          </w:tcPr>
          <w:p>
            <w:r>
              <w:rPr>
                <w:rFonts w:ascii="Arial" w:cs="Arial" w:eastAsia="Arial" w:hAnsi="Arial"/>
                <w:color w:val="333333"/>
                <w:sz w:val="19"/>
                <w:szCs w:val="19"/>
              </w:rPr>
              <w:t xml:space="preserve">Clarification du messaging, refonte des supports de vente, campagnes de génération de leads, alignement marketing-vente.</w:t>
            </w:r>
          </w:p>
        </w:tc>
      </w:tr>
    </w:tbl>
    <w:p>
      <w:r>
        <w:br w:type="page"/>
      </w:r>
    </w:p>
    <w:p>
      <w:pPr>
        <w:pStyle w:val="Heading1"/>
        <w:spacing w:before="400" w:after="100"/>
      </w:pPr>
      <w:r>
        <w:rPr>
          <w:rFonts w:ascii="Arial" w:cs="Arial" w:eastAsia="Arial" w:hAnsi="Arial"/>
          <w:b/>
          <w:bCs/>
          <w:color w:val="0F3460"/>
          <w:sz w:val="32"/>
          <w:szCs w:val="32"/>
        </w:rPr>
        <w:t xml:space="preserve">7. NOTRE MÉTHODE</w:t>
      </w:r>
    </w:p>
    <w:p>
      <w:pPr>
        <w:spacing w:before="0" w:after="200"/>
      </w:pPr>
      <w:r>
        <w:rPr>
          <w:rFonts w:ascii="Arial" w:cs="Arial" w:eastAsia="Arial" w:hAnsi="Arial"/>
          <w:color w:val="E94560"/>
          <w:sz w:val="20"/>
          <w:szCs w:val="20"/>
        </w:rPr>
        <w:t xml:space="preserve">━━━━━━━━━━</w:t>
      </w:r>
    </w:p>
    <w:p>
      <w:pPr>
        <w:spacing w:before="80" w:after="80"/>
        <w:jc w:val="left"/>
      </w:pPr>
      <w:r>
        <w:rPr>
          <w:rFonts w:ascii="Arial" w:cs="Arial" w:eastAsia="Arial" w:hAnsi="Arial"/>
          <w:b w:val="false"/>
          <w:bCs w:val="false"/>
          <w:i w:val="false"/>
          <w:iCs w:val="false"/>
          <w:color w:val="333333"/>
          <w:sz w:val="22"/>
          <w:szCs w:val="22"/>
        </w:rPr>
        <w:t xml:space="preserve">Chaque mission Vizion suit un cadre structuré en quatre phases. Ce cadre est adaptable selon la maturité du client, mais la séquence reste la même : on ne crée jamais de publicité sans avoir posé le positionnement d’abord.</w:t>
      </w:r>
    </w:p>
    <w:p>
      <w:pPr>
        <w:spacing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OBJECTIF</w:t>
            </w:r>
          </w:p>
        </w:tc>
        <w:tc>
          <w:tcPr>
            <w:tcW w:type="dxa" w:w="5026"/>
            <w:tcBorders>
              <w:top w:val="single" w:color="CCCCCC" w:sz="1"/>
              <w:left w:val="single" w:color="CCCCCC" w:sz="1"/>
              <w:bottom w:val="single" w:color="CCCCCC" w:sz="1"/>
              <w:right w:val="single" w:color="CCCCCC" w:sz="1"/>
            </w:tcBorders>
            <w:shd w:fill="1A1A2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LIVRABLES</w:t>
            </w:r>
          </w:p>
        </w:tc>
      </w:tr>
      <w:tr>
        <w:tc>
          <w:tcPr>
            <w:tcW w:type="dxa" w:w="1500"/>
            <w:tcBorders>
              <w:top w:val="single" w:color="CCCCCC" w:sz="1"/>
              <w:left w:val="single" w:color="CCCCCC" w:sz="1"/>
              <w:bottom w:val="single" w:color="CCCCCC" w:sz="1"/>
              <w:right w:val="single" w:color="CCCCCC" w:sz="1"/>
            </w:tcBorders>
            <w:shd w:fill="E8EDF2" w:val="clear"/>
            <w:tcMar>
              <w:top w:type="dxa" w:w="100"/>
              <w:left w:type="dxa" w:w="150"/>
              <w:bottom w:type="dxa" w:w="100"/>
              <w:right w:type="dxa" w:w="150"/>
            </w:tcMar>
          </w:tcPr>
          <w:p>
            <w:r>
              <w:rPr>
                <w:rFonts w:ascii="Arial" w:cs="Arial" w:eastAsia="Arial" w:hAnsi="Arial"/>
                <w:b/>
                <w:bCs/>
                <w:color w:val="E94560"/>
                <w:sz w:val="18"/>
                <w:szCs w:val="18"/>
              </w:rPr>
              <w:t xml:space="preserve">1. DIAGNOSTIC</w:t>
            </w:r>
          </w:p>
        </w:tc>
        <w:tc>
          <w:tcPr>
            <w:tcW w:type="dxa" w:w="2500"/>
            <w:tcBorders>
              <w:top w:val="single" w:color="CCCCCC" w:sz="1"/>
              <w:left w:val="single" w:color="CCCCCC" w:sz="1"/>
              <w:bottom w:val="single" w:color="CCCCCC" w:sz="1"/>
              <w:right w:val="single" w:color="CCCCCC" w:sz="1"/>
            </w:tcBorders>
            <w:shd w:fill="E8EDF2" w:val="clear"/>
            <w:tcMar>
              <w:top w:type="dxa" w:w="100"/>
              <w:left w:type="dxa" w:w="150"/>
              <w:bottom w:type="dxa" w:w="100"/>
              <w:right w:type="dxa" w:w="150"/>
            </w:tcMar>
          </w:tcPr>
          <w:p>
            <w:r>
              <w:rPr>
                <w:rFonts w:ascii="Arial" w:cs="Arial" w:eastAsia="Arial" w:hAnsi="Arial"/>
                <w:color w:val="333333"/>
                <w:sz w:val="20"/>
                <w:szCs w:val="20"/>
              </w:rPr>
              <w:t xml:space="preserve">Comprendre l’offre, le marché, les blocages</w:t>
            </w:r>
          </w:p>
        </w:tc>
        <w:tc>
          <w:tcPr>
            <w:tcW w:type="dxa" w:w="5026"/>
            <w:tcBorders>
              <w:top w:val="single" w:color="CCCCCC" w:sz="1"/>
              <w:left w:val="single" w:color="CCCCCC" w:sz="1"/>
              <w:bottom w:val="single" w:color="CCCCCC" w:sz="1"/>
              <w:right w:val="single" w:color="CCCCCC" w:sz="1"/>
            </w:tcBorders>
            <w:shd w:fill="E8EDF2" w:val="clear"/>
            <w:tcMar>
              <w:top w:type="dxa" w:w="100"/>
              <w:left w:type="dxa" w:w="150"/>
              <w:bottom w:type="dxa" w:w="100"/>
              <w:right w:type="dxa" w:w="150"/>
            </w:tcMar>
          </w:tcPr>
          <w:p>
            <w:r>
              <w:rPr>
                <w:rFonts w:ascii="Arial" w:cs="Arial" w:eastAsia="Arial" w:hAnsi="Arial"/>
                <w:color w:val="333333"/>
                <w:sz w:val="19"/>
                <w:szCs w:val="19"/>
              </w:rPr>
              <w:t xml:space="preserve">Audit du messaging actuel, analyse concurrentielle, interviews internes et clients, cartographie du parcours d’achat.</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E94560"/>
                <w:sz w:val="18"/>
                <w:szCs w:val="18"/>
              </w:rPr>
              <w:t xml:space="preserve">2. FONDATIONS</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Poser le positionnement et le messaging</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Matrice de positionnement, proposition de valeur, personas affinés, messaging framework par segment.</w:t>
            </w:r>
          </w:p>
        </w:tc>
      </w:tr>
      <w:tr>
        <w:tc>
          <w:tcPr>
            <w:tcW w:type="dxa" w:w="1500"/>
            <w:tcBorders>
              <w:top w:val="single" w:color="CCCCCC" w:sz="1"/>
              <w:left w:val="single" w:color="CCCCCC" w:sz="1"/>
              <w:bottom w:val="single" w:color="CCCCCC" w:sz="1"/>
              <w:right w:val="single" w:color="CCCCCC" w:sz="1"/>
            </w:tcBorders>
            <w:shd w:fill="E8EDF2" w:val="clear"/>
            <w:tcMar>
              <w:top w:type="dxa" w:w="100"/>
              <w:left w:type="dxa" w:w="150"/>
              <w:bottom w:type="dxa" w:w="100"/>
              <w:right w:type="dxa" w:w="150"/>
            </w:tcMar>
          </w:tcPr>
          <w:p>
            <w:r>
              <w:rPr>
                <w:rFonts w:ascii="Arial" w:cs="Arial" w:eastAsia="Arial" w:hAnsi="Arial"/>
                <w:b/>
                <w:bCs/>
                <w:color w:val="E94560"/>
                <w:sz w:val="18"/>
                <w:szCs w:val="18"/>
              </w:rPr>
              <w:t xml:space="preserve">3. ACTIVATION</w:t>
            </w:r>
          </w:p>
        </w:tc>
        <w:tc>
          <w:tcPr>
            <w:tcW w:type="dxa" w:w="2500"/>
            <w:tcBorders>
              <w:top w:val="single" w:color="CCCCCC" w:sz="1"/>
              <w:left w:val="single" w:color="CCCCCC" w:sz="1"/>
              <w:bottom w:val="single" w:color="CCCCCC" w:sz="1"/>
              <w:right w:val="single" w:color="CCCCCC" w:sz="1"/>
            </w:tcBorders>
            <w:shd w:fill="E8EDF2" w:val="clear"/>
            <w:tcMar>
              <w:top w:type="dxa" w:w="100"/>
              <w:left w:type="dxa" w:w="150"/>
              <w:bottom w:type="dxa" w:w="100"/>
              <w:right w:type="dxa" w:w="150"/>
            </w:tcMar>
          </w:tcPr>
          <w:p>
            <w:r>
              <w:rPr>
                <w:rFonts w:ascii="Arial" w:cs="Arial" w:eastAsia="Arial" w:hAnsi="Arial"/>
                <w:color w:val="333333"/>
                <w:sz w:val="20"/>
                <w:szCs w:val="20"/>
              </w:rPr>
              <w:t xml:space="preserve">Déployer sur le tunnel de vente</w:t>
            </w:r>
          </w:p>
        </w:tc>
        <w:tc>
          <w:tcPr>
            <w:tcW w:type="dxa" w:w="5026"/>
            <w:tcBorders>
              <w:top w:val="single" w:color="CCCCCC" w:sz="1"/>
              <w:left w:val="single" w:color="CCCCCC" w:sz="1"/>
              <w:bottom w:val="single" w:color="CCCCCC" w:sz="1"/>
              <w:right w:val="single" w:color="CCCCCC" w:sz="1"/>
            </w:tcBorders>
            <w:shd w:fill="E8EDF2" w:val="clear"/>
            <w:tcMar>
              <w:top w:type="dxa" w:w="100"/>
              <w:left w:type="dxa" w:w="150"/>
              <w:bottom w:type="dxa" w:w="100"/>
              <w:right w:type="dxa" w:w="150"/>
            </w:tcMar>
          </w:tcPr>
          <w:p>
            <w:r>
              <w:rPr>
                <w:rFonts w:ascii="Arial" w:cs="Arial" w:eastAsia="Arial" w:hAnsi="Arial"/>
                <w:color w:val="333333"/>
                <w:sz w:val="19"/>
                <w:szCs w:val="19"/>
              </w:rPr>
              <w:t xml:space="preserve">Landing pages, campagnes pub, supports commerciaux, séquences email, contenus de nurturing.</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color w:val="E94560"/>
                <w:sz w:val="18"/>
                <w:szCs w:val="18"/>
              </w:rPr>
              <w:t xml:space="preserve">4. OPTIMISATION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Mesurer, itérer, améliorer</w:t>
            </w:r>
          </w:p>
        </w:tc>
        <w:tc>
          <w:tcPr>
            <w:tcW w:type="dxa" w:w="50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19"/>
                <w:szCs w:val="19"/>
              </w:rPr>
              <w:t xml:space="preserve">A/B tests, analyse des conversions, feedback loop pub ↔ commerciaux, ajustements trimestriels.</w:t>
            </w:r>
          </w:p>
        </w:tc>
      </w:tr>
    </w:tbl>
    <w:p>
      <w:r>
        <w:br w:type="page"/>
      </w:r>
    </w:p>
    <w:p>
      <w:pPr>
        <w:pStyle w:val="Heading1"/>
        <w:spacing w:before="400" w:after="100"/>
      </w:pPr>
      <w:r>
        <w:rPr>
          <w:rFonts w:ascii="Arial" w:cs="Arial" w:eastAsia="Arial" w:hAnsi="Arial"/>
          <w:b/>
          <w:bCs/>
          <w:color w:val="0F3460"/>
          <w:sz w:val="32"/>
          <w:szCs w:val="32"/>
        </w:rPr>
        <w:t xml:space="preserve">8. EN RÉSUMÉ</w:t>
      </w:r>
    </w:p>
    <w:p>
      <w:pPr>
        <w:spacing w:before="0" w:after="200"/>
      </w:pPr>
      <w:r>
        <w:rPr>
          <w:rFonts w:ascii="Arial" w:cs="Arial" w:eastAsia="Arial" w:hAnsi="Arial"/>
          <w:color w:val="E94560"/>
          <w:sz w:val="20"/>
          <w:szCs w:val="20"/>
        </w:rPr>
        <w:t xml:space="preserve">━━━━━━━━━━</w:t>
      </w:r>
    </w:p>
    <w:p>
      <w:pPr>
        <w:spacing w:before="80" w:after="80"/>
        <w:jc w:val="left"/>
      </w:pPr>
      <w:r>
        <w:rPr>
          <w:rFonts w:ascii="Arial" w:cs="Arial" w:eastAsia="Arial" w:hAnsi="Arial"/>
          <w:b w:val="false"/>
          <w:bCs w:val="false"/>
          <w:i w:val="false"/>
          <w:iCs w:val="false"/>
          <w:color w:val="333333"/>
          <w:sz w:val="22"/>
          <w:szCs w:val="22"/>
        </w:rPr>
        <w:t xml:space="preserve">Vizion est une agence de marketing produit B2B. Notre mission est de faire de nos clients l’évidence sur leur marché, en travaillant sur l’intégralité du tunnel de vente : du message publicitaire qui capte l’attention jusqu’aux outils qui aident les commerciaux à closer.</w:t>
      </w:r>
    </w:p>
    <w:p>
      <w:pPr>
        <w:spacing w:before="80" w:after="80"/>
        <w:jc w:val="left"/>
      </w:pPr>
      <w:r>
        <w:rPr>
          <w:rFonts w:ascii="Arial" w:cs="Arial" w:eastAsia="Arial" w:hAnsi="Arial"/>
          <w:b w:val="false"/>
          <w:bCs w:val="false"/>
          <w:i w:val="false"/>
          <w:iCs w:val="false"/>
          <w:color w:val="333333"/>
          <w:sz w:val="22"/>
          <w:szCs w:val="22"/>
        </w:rPr>
        <w:t xml:space="preserve">Notre force, c’est la simplification. On prend des offres complexes et on les transforme en messages clairs qui déclenchent l’action. Que le « produit » soit un SaaS, un concept de franchise ou un service B2B, la méthode est la même : comprendre, clarifier, activer, optimiser.</w:t>
      </w:r>
    </w:p>
    <w:p>
      <w:pPr>
        <w:spacing w:before="80" w:after="80"/>
        <w:jc w:val="left"/>
      </w:pPr>
      <w:r>
        <w:rPr>
          <w:rFonts w:ascii="Arial" w:cs="Arial" w:eastAsia="Arial" w:hAnsi="Arial"/>
          <w:b w:val="false"/>
          <w:bCs w:val="false"/>
          <w:i w:val="false"/>
          <w:iCs w:val="false"/>
          <w:color w:val="333333"/>
          <w:sz w:val="22"/>
          <w:szCs w:val="22"/>
        </w:rPr>
        <w:t xml:space="preserve">On ne fait pas de jolis supports qui restent dans un tiroir. On construit des systèmes de vente où chaque élément est connecté : la pub alimente le commercial, le commercial alimente la pub. Le message est un. Le résultat est mesurable.</w:t>
      </w:r>
    </w:p>
    <w:p>
      <w:pPr>
        <w:spacing w:before="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E8EDF2" w:val="clear"/>
            <w:tcMar>
              <w:top w:type="dxa" w:w="150"/>
              <w:left w:type="dxa" w:w="200"/>
              <w:bottom w:type="dxa" w:w="150"/>
              <w:right w:type="dxa" w:w="200"/>
            </w:tcMar>
          </w:tcPr>
          <w:p>
            <w:pPr>
              <w:jc w:val="center"/>
            </w:pPr>
            <w:r>
              <w:rPr>
                <w:rFonts w:ascii="Arial" w:cs="Arial" w:eastAsia="Arial" w:hAnsi="Arial"/>
                <w:b/>
                <w:bCs/>
                <w:color w:val="1A1A2E"/>
                <w:sz w:val="24"/>
                <w:szCs w:val="24"/>
              </w:rPr>
              <w:t xml:space="preserve">Notre mission : faire de vous l’évidence sur votre marché.</w:t>
            </w:r>
          </w:p>
        </w:tc>
      </w:tr>
    </w:tbl>
    <w:p>
      <w:pPr>
        <w:spacing w:before="400"/>
      </w:pPr>
    </w:p>
    <w:p>
      <w:pPr>
        <w:jc w:val="center"/>
      </w:pPr>
      <w:r>
        <w:rPr>
          <w:rFonts w:ascii="Arial" w:cs="Arial" w:eastAsia="Arial" w:hAnsi="Arial"/>
          <w:b/>
          <w:bCs/>
          <w:color w:val="0F3460"/>
          <w:sz w:val="22"/>
          <w:szCs w:val="22"/>
        </w:rPr>
        <w:t xml:space="preserve">vizion.marketing</w:t>
      </w:r>
    </w:p>
    <w:p>
      <w:pPr>
        <w:spacing w:after="100"/>
        <w:jc w:val="center"/>
      </w:pPr>
      <w:r>
        <w:rPr>
          <w:rFonts w:ascii="Arial" w:cs="Arial" w:eastAsia="Arial" w:hAnsi="Arial"/>
          <w:color w:val="666666"/>
          <w:sz w:val="20"/>
          <w:szCs w:val="20"/>
        </w:rPr>
        <w:t xml:space="preserve">Toulouse, France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VIZION — Positionnement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F3460"/>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2026-02-06T09:38:07.816Z</dcterms:created>
  <dcterms:modified xsi:type="dcterms:W3CDTF">2026-02-06T09:38:07.818Z</dcterms:modified>
</cp:coreProperties>
</file>

<file path=docProps/custom.xml><?xml version="1.0" encoding="utf-8"?>
<Properties xmlns="http://schemas.openxmlformats.org/officeDocument/2006/custom-properties" xmlns:vt="http://schemas.openxmlformats.org/officeDocument/2006/docPropsVTypes"/>
</file>