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0"/>
      </w:pPr>
      <w:r>
        <w:rPr>
          <w:b/>
          <w:i w:val="0"/>
          <w:color w:val="B8760A"/>
          <w:sz w:val="88"/>
        </w:rPr>
        <w:t>JARVIS</w:t>
      </w:r>
    </w:p>
    <w:p>
      <w:pPr>
        <w:spacing w:after="280"/>
      </w:pPr>
      <w:r>
        <w:rPr>
          <w:b w:val="0"/>
          <w:i/>
          <w:color w:val="1D1B16"/>
          <w:sz w:val="44"/>
        </w:rPr>
        <w:t>money, plainly</w:t>
      </w:r>
    </w:p>
    <w:p>
      <w:pPr>
        <w:spacing w:after="520"/>
      </w:pPr>
      <w:r>
        <w:rPr>
          <w:b w:val="0"/>
          <w:i w:val="0"/>
          <w:color w:val="6B675C"/>
          <w:sz w:val="26"/>
        </w:rPr>
        <w:t>A free, local, bilingual financial-protection platform for India, built first for the people the financial system serves least.</w:t>
      </w:r>
    </w:p>
    <w:tbl>
      <w:tblPr>
        <w:tblW w:type="auto" w:w="0"/>
        <w:jc w:val="center"/>
        <w:tblLayout w:type="fixed"/>
        <w:tblLook w:firstColumn="1" w:firstRow="1" w:lastColumn="0" w:lastRow="0" w:noHBand="0" w:noVBand="1" w:val="04A0"/>
        <w:tblBorders>
          <w:top w:val="single" w:sz="4" w:color="D8D0BC"/>
          <w:left w:val="single" w:sz="4" w:color="D8D0BC"/>
          <w:bottom w:val="single" w:sz="4" w:color="D8D0BC"/>
          <w:right w:val="single" w:sz="4" w:color="D8D0BC"/>
          <w:insideH w:val="single" w:sz="4" w:color="D8D0BC"/>
          <w:insideV w:val="single" w:sz="4" w:color="D8D0BC"/>
        </w:tblBorders>
      </w:tblPr>
      <w:tblGrid>
        <w:gridCol w:w="4762"/>
        <w:gridCol w:w="4762"/>
      </w:tblGrid>
      <w:tr>
        <w:tc>
          <w:tcPr>
            <w:tcW w:type="dxa" w:w="1814"/>
            <w:shd w:val="clear" w:color="auto" w:fill="FAF6EA"/>
          </w:tcPr>
          <w:p>
            <w:pPr>
              <w:spacing w:after="20"/>
            </w:pPr>
            <w:r>
              <w:rPr>
                <w:b w:val="0"/>
                <w:sz w:val="20"/>
              </w:rPr>
              <w:t>What it is</w:t>
            </w:r>
          </w:p>
        </w:tc>
        <w:tc>
          <w:tcPr>
            <w:tcW w:type="dxa" w:w="7597"/>
            <w:shd w:val="clear" w:color="auto" w:fill="FAF6EA"/>
          </w:tcPr>
          <w:p>
            <w:pPr>
              <w:spacing w:after="20"/>
            </w:pPr>
            <w:r>
              <w:rPr>
                <w:b w:val="0"/>
                <w:sz w:val="20"/>
              </w:rPr>
              <w:t>A guard, a guide and a calculator for everyday money: it checks scams and loan costs, finds government benefits, explains investing, researches a stock in plain words and keeps an honest record.</w:t>
            </w:r>
          </w:p>
        </w:tc>
      </w:tr>
      <w:tr>
        <w:tc>
          <w:tcPr>
            <w:tcW w:type="dxa" w:w="1814"/>
          </w:tcPr>
          <w:p>
            <w:pPr>
              <w:spacing w:after="20"/>
            </w:pPr>
            <w:r>
              <w:rPr>
                <w:b w:val="0"/>
                <w:sz w:val="20"/>
              </w:rPr>
              <w:t>Who it is for</w:t>
            </w:r>
          </w:p>
        </w:tc>
        <w:tc>
          <w:tcPr>
            <w:tcW w:type="dxa" w:w="7597"/>
          </w:tcPr>
          <w:p>
            <w:pPr>
              <w:spacing w:after="20"/>
            </w:pPr>
            <w:r>
              <w:rPr>
                <w:b w:val="0"/>
                <w:sz w:val="20"/>
              </w:rPr>
              <w:t>75% of the effort: underprivileged and rural families.  20%: retail and middle-class investors.  5%: affluent users and advisers.</w:t>
            </w:r>
          </w:p>
        </w:tc>
      </w:tr>
      <w:tr>
        <w:tc>
          <w:tcPr>
            <w:tcW w:type="dxa" w:w="1814"/>
            <w:shd w:val="clear" w:color="auto" w:fill="FAF6EA"/>
          </w:tcPr>
          <w:p>
            <w:pPr>
              <w:spacing w:after="20"/>
            </w:pPr>
            <w:r>
              <w:rPr>
                <w:b w:val="0"/>
                <w:sz w:val="20"/>
              </w:rPr>
              <w:t>Where it stands</w:t>
            </w:r>
          </w:p>
        </w:tc>
        <w:tc>
          <w:tcPr>
            <w:tcW w:type="dxa" w:w="7597"/>
            <w:shd w:val="clear" w:color="auto" w:fill="FAF6EA"/>
          </w:tcPr>
          <w:p>
            <w:pPr>
              <w:spacing w:after="20"/>
            </w:pPr>
            <w:r>
              <w:rPr>
                <w:b w:val="0"/>
                <w:sz w:val="20"/>
              </w:rPr>
              <w:t>A working prototype: web app, WhatsApp/SMS simulator, Hindi voice, offline pack, 25 guided tours, 520 automated tests.</w:t>
            </w:r>
          </w:p>
        </w:tc>
      </w:tr>
      <w:tr>
        <w:tc>
          <w:tcPr>
            <w:tcW w:type="dxa" w:w="1814"/>
          </w:tcPr>
          <w:p>
            <w:pPr>
              <w:spacing w:after="20"/>
            </w:pPr>
            <w:r>
              <w:rPr>
                <w:b w:val="0"/>
                <w:sz w:val="20"/>
              </w:rPr>
              <w:t>Document</w:t>
            </w:r>
          </w:p>
        </w:tc>
        <w:tc>
          <w:tcPr>
            <w:tcW w:type="dxa" w:w="7597"/>
          </w:tcPr>
          <w:p>
            <w:pPr>
              <w:spacing w:after="20"/>
            </w:pPr>
            <w:r>
              <w:rPr>
                <w:b w:val="0"/>
                <w:sz w:val="20"/>
              </w:rPr>
              <w:t>Product, users, technology, business and roadmap in one brief. Prepared for the Drishti AI hackathon review.</w:t>
            </w:r>
          </w:p>
        </w:tc>
      </w:tr>
    </w:tbl>
    <w:p>
      <w:pPr>
        <w:spacing w:after="40"/>
      </w:pPr>
    </w:p>
    <w:p>
      <w:r>
        <w:br w:type="page"/>
      </w:r>
    </w:p>
    <w:p>
      <w:pPr>
        <w:pStyle w:val="Heading1"/>
      </w:pPr>
      <w:r>
        <w:t>Contents</w:t>
      </w:r>
    </w:p>
    <w:tbl>
      <w:tblPr>
        <w:tblW w:type="auto" w:w="0"/>
        <w:jc w:val="center"/>
        <w:tblLayout w:type="fixed"/>
        <w:tblLook w:firstColumn="1" w:firstRow="1" w:lastColumn="0" w:lastRow="0" w:noHBand="0" w:noVBand="1" w:val="04A0"/>
        <w:tblBorders>
          <w:top w:val="single" w:sz="4" w:color="D8D0BC"/>
          <w:left w:val="single" w:sz="4" w:color="D8D0BC"/>
          <w:bottom w:val="single" w:sz="4" w:color="D8D0BC"/>
          <w:right w:val="single" w:sz="4" w:color="D8D0BC"/>
          <w:insideH w:val="single" w:sz="4" w:color="D8D0BC"/>
          <w:insideV w:val="single" w:sz="4" w:color="D8D0BC"/>
        </w:tblBorders>
      </w:tblPr>
      <w:tblGrid>
        <w:gridCol w:w="4762"/>
        <w:gridCol w:w="4762"/>
      </w:tblGrid>
      <w:tr>
        <w:tc>
          <w:tcPr>
            <w:tcW w:type="dxa" w:w="680"/>
            <w:shd w:val="clear" w:color="auto" w:fill="FAF6EA"/>
          </w:tcPr>
          <w:p>
            <w:pPr>
              <w:spacing w:after="20"/>
            </w:pPr>
            <w:r>
              <w:rPr>
                <w:b w:val="0"/>
                <w:sz w:val="21"/>
              </w:rPr>
              <w:t>1</w:t>
            </w:r>
          </w:p>
        </w:tc>
        <w:tc>
          <w:tcPr>
            <w:tcW w:type="dxa" w:w="8731"/>
            <w:shd w:val="clear" w:color="auto" w:fill="FAF6EA"/>
          </w:tcPr>
          <w:p>
            <w:pPr>
              <w:spacing w:after="20"/>
            </w:pPr>
            <w:r>
              <w:rPr>
                <w:b w:val="0"/>
                <w:sz w:val="21"/>
              </w:rPr>
              <w:t>The idea in one page</w:t>
            </w:r>
          </w:p>
        </w:tc>
      </w:tr>
      <w:tr>
        <w:tc>
          <w:tcPr>
            <w:tcW w:type="dxa" w:w="680"/>
          </w:tcPr>
          <w:p>
            <w:pPr>
              <w:spacing w:after="20"/>
            </w:pPr>
            <w:r>
              <w:rPr>
                <w:b w:val="0"/>
                <w:sz w:val="21"/>
              </w:rPr>
              <w:t>2</w:t>
            </w:r>
          </w:p>
        </w:tc>
        <w:tc>
          <w:tcPr>
            <w:tcW w:type="dxa" w:w="8731"/>
          </w:tcPr>
          <w:p>
            <w:pPr>
              <w:spacing w:after="20"/>
            </w:pPr>
            <w:r>
              <w:rPr>
                <w:b w:val="0"/>
                <w:sz w:val="21"/>
              </w:rPr>
              <w:t>The problem we are solving, and for whom</w:t>
            </w:r>
          </w:p>
        </w:tc>
      </w:tr>
      <w:tr>
        <w:tc>
          <w:tcPr>
            <w:tcW w:type="dxa" w:w="680"/>
            <w:shd w:val="clear" w:color="auto" w:fill="FAF6EA"/>
          </w:tcPr>
          <w:p>
            <w:pPr>
              <w:spacing w:after="20"/>
            </w:pPr>
            <w:r>
              <w:rPr>
                <w:b w:val="0"/>
                <w:sz w:val="21"/>
              </w:rPr>
              <w:t>3</w:t>
            </w:r>
          </w:p>
        </w:tc>
        <w:tc>
          <w:tcPr>
            <w:tcW w:type="dxa" w:w="8731"/>
            <w:shd w:val="clear" w:color="auto" w:fill="FAF6EA"/>
          </w:tcPr>
          <w:p>
            <w:pPr>
              <w:spacing w:after="20"/>
            </w:pPr>
            <w:r>
              <w:rPr>
                <w:b w:val="0"/>
                <w:sz w:val="21"/>
              </w:rPr>
              <w:t>Who uses it: the 75 / 20 / 5 design</w:t>
            </w:r>
          </w:p>
        </w:tc>
      </w:tr>
      <w:tr>
        <w:tc>
          <w:tcPr>
            <w:tcW w:type="dxa" w:w="680"/>
          </w:tcPr>
          <w:p>
            <w:pPr>
              <w:spacing w:after="20"/>
            </w:pPr>
            <w:r>
              <w:rPr>
                <w:b w:val="0"/>
                <w:sz w:val="21"/>
              </w:rPr>
              <w:t>4</w:t>
            </w:r>
          </w:p>
        </w:tc>
        <w:tc>
          <w:tcPr>
            <w:tcW w:type="dxa" w:w="8731"/>
          </w:tcPr>
          <w:p>
            <w:pPr>
              <w:spacing w:after="20"/>
            </w:pPr>
            <w:r>
              <w:rPr>
                <w:b w:val="0"/>
                <w:sz w:val="21"/>
              </w:rPr>
              <w:t>How the platform works</w:t>
            </w:r>
          </w:p>
        </w:tc>
      </w:tr>
      <w:tr>
        <w:tc>
          <w:tcPr>
            <w:tcW w:type="dxa" w:w="680"/>
            <w:shd w:val="clear" w:color="auto" w:fill="FAF6EA"/>
          </w:tcPr>
          <w:p>
            <w:pPr>
              <w:spacing w:after="20"/>
            </w:pPr>
            <w:r>
              <w:rPr>
                <w:b w:val="0"/>
                <w:sz w:val="21"/>
              </w:rPr>
              <w:t>5</w:t>
            </w:r>
          </w:p>
        </w:tc>
        <w:tc>
          <w:tcPr>
            <w:tcW w:type="dxa" w:w="8731"/>
            <w:shd w:val="clear" w:color="auto" w:fill="FAF6EA"/>
          </w:tcPr>
          <w:p>
            <w:pPr>
              <w:spacing w:after="20"/>
            </w:pPr>
            <w:r>
              <w:rPr>
                <w:b w:val="0"/>
                <w:sz w:val="21"/>
              </w:rPr>
              <w:t>Features for the underprivileged majority</w:t>
            </w:r>
          </w:p>
        </w:tc>
      </w:tr>
      <w:tr>
        <w:tc>
          <w:tcPr>
            <w:tcW w:type="dxa" w:w="680"/>
          </w:tcPr>
          <w:p>
            <w:pPr>
              <w:spacing w:after="20"/>
            </w:pPr>
            <w:r>
              <w:rPr>
                <w:b w:val="0"/>
                <w:sz w:val="21"/>
              </w:rPr>
              <w:t>6</w:t>
            </w:r>
          </w:p>
        </w:tc>
        <w:tc>
          <w:tcPr>
            <w:tcW w:type="dxa" w:w="8731"/>
          </w:tcPr>
          <w:p>
            <w:pPr>
              <w:spacing w:after="20"/>
            </w:pPr>
            <w:r>
              <w:rPr>
                <w:b w:val="0"/>
                <w:sz w:val="21"/>
              </w:rPr>
              <w:t>Features for retail and middle-class users</w:t>
            </w:r>
          </w:p>
        </w:tc>
      </w:tr>
      <w:tr>
        <w:tc>
          <w:tcPr>
            <w:tcW w:type="dxa" w:w="680"/>
            <w:shd w:val="clear" w:color="auto" w:fill="FAF6EA"/>
          </w:tcPr>
          <w:p>
            <w:pPr>
              <w:spacing w:after="20"/>
            </w:pPr>
            <w:r>
              <w:rPr>
                <w:b w:val="0"/>
                <w:sz w:val="21"/>
              </w:rPr>
              <w:t>7</w:t>
            </w:r>
          </w:p>
        </w:tc>
        <w:tc>
          <w:tcPr>
            <w:tcW w:type="dxa" w:w="8731"/>
            <w:shd w:val="clear" w:color="auto" w:fill="FAF6EA"/>
          </w:tcPr>
          <w:p>
            <w:pPr>
              <w:spacing w:after="20"/>
            </w:pPr>
            <w:r>
              <w:rPr>
                <w:b w:val="0"/>
                <w:sz w:val="21"/>
              </w:rPr>
              <w:t>Features for affluent users and advisers</w:t>
            </w:r>
          </w:p>
        </w:tc>
      </w:tr>
      <w:tr>
        <w:tc>
          <w:tcPr>
            <w:tcW w:type="dxa" w:w="680"/>
          </w:tcPr>
          <w:p>
            <w:pPr>
              <w:spacing w:after="20"/>
            </w:pPr>
            <w:r>
              <w:rPr>
                <w:b w:val="0"/>
                <w:sz w:val="21"/>
              </w:rPr>
              <w:t>8</w:t>
            </w:r>
          </w:p>
        </w:tc>
        <w:tc>
          <w:tcPr>
            <w:tcW w:type="dxa" w:w="8731"/>
          </w:tcPr>
          <w:p>
            <w:pPr>
              <w:spacing w:after="20"/>
            </w:pPr>
            <w:r>
              <w:rPr>
                <w:b w:val="0"/>
                <w:sz w:val="21"/>
              </w:rPr>
              <w:t>Shared foundations: understanding, tours, charts, trust</w:t>
            </w:r>
          </w:p>
        </w:tc>
      </w:tr>
      <w:tr>
        <w:tc>
          <w:tcPr>
            <w:tcW w:type="dxa" w:w="680"/>
            <w:shd w:val="clear" w:color="auto" w:fill="FAF6EA"/>
          </w:tcPr>
          <w:p>
            <w:pPr>
              <w:spacing w:after="20"/>
            </w:pPr>
            <w:r>
              <w:rPr>
                <w:b w:val="0"/>
                <w:sz w:val="21"/>
              </w:rPr>
              <w:t>9</w:t>
            </w:r>
          </w:p>
        </w:tc>
        <w:tc>
          <w:tcPr>
            <w:tcW w:type="dxa" w:w="8731"/>
            <w:shd w:val="clear" w:color="auto" w:fill="FAF6EA"/>
          </w:tcPr>
          <w:p>
            <w:pPr>
              <w:spacing w:after="20"/>
            </w:pPr>
            <w:r>
              <w:rPr>
                <w:b w:val="0"/>
                <w:sz w:val="21"/>
              </w:rPr>
              <w:t>Five flagship features in depth</w:t>
            </w:r>
          </w:p>
        </w:tc>
      </w:tr>
      <w:tr>
        <w:tc>
          <w:tcPr>
            <w:tcW w:type="dxa" w:w="680"/>
          </w:tcPr>
          <w:p>
            <w:pPr>
              <w:spacing w:after="20"/>
            </w:pPr>
            <w:r>
              <w:rPr>
                <w:b w:val="0"/>
                <w:sz w:val="21"/>
              </w:rPr>
              <w:t>10</w:t>
            </w:r>
          </w:p>
        </w:tc>
        <w:tc>
          <w:tcPr>
            <w:tcW w:type="dxa" w:w="8731"/>
          </w:tcPr>
          <w:p>
            <w:pPr>
              <w:spacing w:after="20"/>
            </w:pPr>
            <w:r>
              <w:rPr>
                <w:b w:val="0"/>
                <w:sz w:val="21"/>
              </w:rPr>
              <w:t>A day in the life: three users, one platform</w:t>
            </w:r>
          </w:p>
        </w:tc>
      </w:tr>
      <w:tr>
        <w:tc>
          <w:tcPr>
            <w:tcW w:type="dxa" w:w="680"/>
            <w:shd w:val="clear" w:color="auto" w:fill="FAF6EA"/>
          </w:tcPr>
          <w:p>
            <w:pPr>
              <w:spacing w:after="20"/>
            </w:pPr>
            <w:r>
              <w:rPr>
                <w:b w:val="0"/>
                <w:sz w:val="21"/>
              </w:rPr>
              <w:t>11</w:t>
            </w:r>
          </w:p>
        </w:tc>
        <w:tc>
          <w:tcPr>
            <w:tcW w:type="dxa" w:w="8731"/>
            <w:shd w:val="clear" w:color="auto" w:fill="FAF6EA"/>
          </w:tcPr>
          <w:p>
            <w:pPr>
              <w:spacing w:after="20"/>
            </w:pPr>
            <w:r>
              <w:rPr>
                <w:b w:val="0"/>
                <w:sz w:val="21"/>
              </w:rPr>
              <w:t>Complete feature catalogue</w:t>
            </w:r>
          </w:p>
        </w:tc>
      </w:tr>
      <w:tr>
        <w:tc>
          <w:tcPr>
            <w:tcW w:type="dxa" w:w="680"/>
          </w:tcPr>
          <w:p>
            <w:pPr>
              <w:spacing w:after="20"/>
            </w:pPr>
            <w:r>
              <w:rPr>
                <w:b w:val="0"/>
                <w:sz w:val="21"/>
              </w:rPr>
              <w:t>12</w:t>
            </w:r>
          </w:p>
        </w:tc>
        <w:tc>
          <w:tcPr>
            <w:tcW w:type="dxa" w:w="8731"/>
          </w:tcPr>
          <w:p>
            <w:pPr>
              <w:spacing w:after="20"/>
            </w:pPr>
            <w:r>
              <w:rPr>
                <w:b w:val="0"/>
                <w:sz w:val="21"/>
              </w:rPr>
              <w:t>Technical deep dive</w:t>
            </w:r>
          </w:p>
        </w:tc>
      </w:tr>
      <w:tr>
        <w:tc>
          <w:tcPr>
            <w:tcW w:type="dxa" w:w="680"/>
            <w:shd w:val="clear" w:color="auto" w:fill="FAF6EA"/>
          </w:tcPr>
          <w:p>
            <w:pPr>
              <w:spacing w:after="20"/>
            </w:pPr>
            <w:r>
              <w:rPr>
                <w:b w:val="0"/>
                <w:sz w:val="21"/>
              </w:rPr>
              <w:t>13</w:t>
            </w:r>
          </w:p>
        </w:tc>
        <w:tc>
          <w:tcPr>
            <w:tcW w:type="dxa" w:w="8731"/>
            <w:shd w:val="clear" w:color="auto" w:fill="FAF6EA"/>
          </w:tcPr>
          <w:p>
            <w:pPr>
              <w:spacing w:after="20"/>
            </w:pPr>
            <w:r>
              <w:rPr>
                <w:b w:val="0"/>
                <w:sz w:val="21"/>
              </w:rPr>
              <w:t>Where the prototype stands today</w:t>
            </w:r>
          </w:p>
        </w:tc>
      </w:tr>
      <w:tr>
        <w:tc>
          <w:tcPr>
            <w:tcW w:type="dxa" w:w="680"/>
          </w:tcPr>
          <w:p>
            <w:pPr>
              <w:spacing w:after="20"/>
            </w:pPr>
            <w:r>
              <w:rPr>
                <w:b w:val="0"/>
                <w:sz w:val="21"/>
              </w:rPr>
              <w:t>14</w:t>
            </w:r>
          </w:p>
        </w:tc>
        <w:tc>
          <w:tcPr>
            <w:tcW w:type="dxa" w:w="8731"/>
          </w:tcPr>
          <w:p>
            <w:pPr>
              <w:spacing w:after="20"/>
            </w:pPr>
            <w:r>
              <w:rPr>
                <w:b w:val="0"/>
                <w:sz w:val="21"/>
              </w:rPr>
              <w:t>How we are different</w:t>
            </w:r>
          </w:p>
        </w:tc>
      </w:tr>
      <w:tr>
        <w:tc>
          <w:tcPr>
            <w:tcW w:type="dxa" w:w="680"/>
            <w:shd w:val="clear" w:color="auto" w:fill="FAF6EA"/>
          </w:tcPr>
          <w:p>
            <w:pPr>
              <w:spacing w:after="20"/>
            </w:pPr>
            <w:r>
              <w:rPr>
                <w:b w:val="0"/>
                <w:sz w:val="21"/>
              </w:rPr>
              <w:t>15</w:t>
            </w:r>
          </w:p>
        </w:tc>
        <w:tc>
          <w:tcPr>
            <w:tcW w:type="dxa" w:w="8731"/>
            <w:shd w:val="clear" w:color="auto" w:fill="FAF6EA"/>
          </w:tcPr>
          <w:p>
            <w:pPr>
              <w:spacing w:after="20"/>
            </w:pPr>
            <w:r>
              <w:rPr>
                <w:b w:val="0"/>
                <w:sz w:val="21"/>
              </w:rPr>
              <w:t>Taking it to market: the business</w:t>
            </w:r>
          </w:p>
        </w:tc>
      </w:tr>
      <w:tr>
        <w:tc>
          <w:tcPr>
            <w:tcW w:type="dxa" w:w="680"/>
          </w:tcPr>
          <w:p>
            <w:pPr>
              <w:spacing w:after="20"/>
            </w:pPr>
            <w:r>
              <w:rPr>
                <w:b w:val="0"/>
                <w:sz w:val="21"/>
              </w:rPr>
              <w:t>16</w:t>
            </w:r>
          </w:p>
        </w:tc>
        <w:tc>
          <w:tcPr>
            <w:tcW w:type="dxa" w:w="8731"/>
          </w:tcPr>
          <w:p>
            <w:pPr>
              <w:spacing w:after="20"/>
            </w:pPr>
            <w:r>
              <w:rPr>
                <w:b w:val="0"/>
                <w:sz w:val="21"/>
              </w:rPr>
              <w:t>Risks, compliance and ethics</w:t>
            </w:r>
          </w:p>
        </w:tc>
      </w:tr>
      <w:tr>
        <w:tc>
          <w:tcPr>
            <w:tcW w:type="dxa" w:w="680"/>
            <w:shd w:val="clear" w:color="auto" w:fill="FAF6EA"/>
          </w:tcPr>
          <w:p>
            <w:pPr>
              <w:spacing w:after="20"/>
            </w:pPr>
            <w:r>
              <w:rPr>
                <w:b w:val="0"/>
                <w:sz w:val="21"/>
              </w:rPr>
              <w:t>17</w:t>
            </w:r>
          </w:p>
        </w:tc>
        <w:tc>
          <w:tcPr>
            <w:tcW w:type="dxa" w:w="8731"/>
            <w:shd w:val="clear" w:color="auto" w:fill="FAF6EA"/>
          </w:tcPr>
          <w:p>
            <w:pPr>
              <w:spacing w:after="20"/>
            </w:pPr>
            <w:r>
              <w:rPr>
                <w:b w:val="0"/>
                <w:sz w:val="21"/>
              </w:rPr>
              <w:t>Roadmap, measures of success and what we added</w:t>
            </w:r>
          </w:p>
        </w:tc>
      </w:tr>
      <w:tr>
        <w:tc>
          <w:tcPr>
            <w:tcW w:type="dxa" w:w="680"/>
          </w:tcPr>
          <w:p>
            <w:pPr>
              <w:spacing w:after="20"/>
            </w:pPr>
            <w:r>
              <w:rPr>
                <w:b w:val="0"/>
                <w:sz w:val="21"/>
              </w:rPr>
              <w:t>A</w:t>
            </w:r>
          </w:p>
        </w:tc>
        <w:tc>
          <w:tcPr>
            <w:tcW w:type="dxa" w:w="8731"/>
          </w:tcPr>
          <w:p>
            <w:pPr>
              <w:spacing w:after="20"/>
            </w:pPr>
            <w:r>
              <w:rPr>
                <w:b w:val="0"/>
                <w:sz w:val="21"/>
              </w:rPr>
              <w:t>Demo script, FAQ, glossary and sources</w:t>
            </w:r>
          </w:p>
        </w:tc>
      </w:tr>
    </w:tbl>
    <w:p>
      <w:pPr>
        <w:spacing w:after="40"/>
      </w:pPr>
    </w:p>
    <w:p>
      <w:r>
        <w:rPr>
          <w:b w:val="0"/>
          <w:i/>
          <w:color w:val="6B675C"/>
          <w:sz w:val="18"/>
        </w:rPr>
        <w:t>Figures quoted about India are public, rounded and indicative. Check them against the latest official release before using them outside this brief.</w:t>
      </w:r>
    </w:p>
    <w:p>
      <w:pPr>
        <w:pStyle w:val="Heading1"/>
      </w:pPr>
      <w:r>
        <w:t>1. The idea in one page</w:t>
      </w:r>
    </w:p>
    <w:tbl>
      <w:tblPr>
        <w:tblW w:type="auto" w:w="0"/>
        <w:jc w:val="center"/>
        <w:tblLook w:firstColumn="1" w:firstRow="1" w:lastColumn="0" w:lastRow="0" w:noHBand="0" w:noVBand="1" w:val="04A0"/>
        <w:tblBorders>
          <w:top w:val="single" w:sz="4" w:color="E0C47A"/>
          <w:left w:val="single" w:sz="4" w:color="E0C47A"/>
          <w:bottom w:val="single" w:sz="4" w:color="E0C47A"/>
          <w:right w:val="single" w:sz="4" w:color="E0C47A"/>
          <w:insideH w:val="single" w:sz="4" w:color="E0C47A"/>
          <w:insideV w:val="single" w:sz="4" w:color="E0C47A"/>
        </w:tblBorders>
      </w:tblPr>
      <w:tblGrid>
        <w:gridCol w:w="9524"/>
      </w:tblGrid>
      <w:tr>
        <w:tc>
          <w:tcPr>
            <w:tcW w:type="dxa" w:w="9411"/>
            <w:shd w:val="clear" w:color="auto" w:fill="FFF4D8"/>
          </w:tcPr>
          <w:p>
            <w:r>
              <w:rPr>
                <w:b/>
                <w:color w:val="B8760A"/>
              </w:rPr>
              <w:t xml:space="preserve">Main idea  </w:t>
            </w:r>
            <w:r>
              <w:rPr>
                <w:b/>
              </w:rPr>
              <w:t>Put a trustworthy money adviser, a scam shield and a government-benefits finder in the hands of people who have never had one, in their own language, on the phone they already own, at no cost to them.</w:t>
            </w:r>
            <w:r>
              <w:rPr>
                <w:b w:val="0"/>
              </w:rPr>
              <w:t xml:space="preserve"> Everything else in the platform is an add-on that extends the same engine to people with more money and more complex needs.</w:t>
            </w:r>
          </w:p>
        </w:tc>
      </w:tr>
    </w:tbl>
    <w:p>
      <w:pPr>
        <w:spacing w:after="40"/>
      </w:pPr>
    </w:p>
    <w:p>
      <w:pPr>
        <w:pStyle w:val="Heading2"/>
      </w:pPr>
      <w:r>
        <w:t>Abstract</w:t>
      </w:r>
    </w:p>
    <w:p>
      <w:r>
        <w:rPr>
          <w:b w:val="0"/>
        </w:rPr>
        <w:t>Most Indians make money decisions alone. A farmer decides whether a moneylender's '5 rupees per hundred' is fair. A daily-wage family decides whether an agent's policy is worth paying for. A first-time investor decides whether a Telegram tip is real. They do it with no adviser, little time and in a language the financial industry rarely speaks. The cost is large and invisible: interest rates that are really 60% a year, savings lost to fraud, benefits never claimed.</w:t>
      </w:r>
    </w:p>
    <w:p>
      <w:r>
        <w:rPr>
          <w:b w:val="0"/>
        </w:rPr>
        <w:t>Jarvis is one platform that answers those questions plainly. It reads a question the way a person asks it (typed or spoken, Hindi or English), picks the right tool, works the answer out with deterministic code and shows it as a clear card with the figures, the steps and, where useful, a chart. For people who cannot or do not want to use an app, the same tools run as a WhatsApp or SMS conversation. For people with savings, the same engine explains funds, fees, tax and risk, researches a company and enforces their own risk limits.</w:t>
      </w:r>
    </w:p>
    <w:p>
      <w:r>
        <w:rPr>
          <w:b w:val="0"/>
        </w:rPr>
        <w:t xml:space="preserve">The design rule is </w:t>
      </w:r>
      <w:r>
        <w:rPr>
          <w:b/>
        </w:rPr>
        <w:t>accuracy over fluency</w:t>
      </w:r>
      <w:r>
        <w:rPr>
          <w:b w:val="0"/>
        </w:rPr>
        <w:t>: no figure is ever produced by a language model; every number comes from a calculator or from dated public data, and the screen says how old that data is and how much each point can be trusted. Nothing says buy or sell. The decision stays with the person.</w:t>
      </w:r>
    </w:p>
    <w:p>
      <w:pPr>
        <w:pStyle w:val="Heading2"/>
      </w:pPr>
      <w:r>
        <w:t>The three promises</w:t>
      </w:r>
    </w:p>
    <w:tbl>
      <w:tblPr>
        <w:tblW w:type="auto" w:w="0"/>
        <w:jc w:val="center"/>
        <w:tblLayout w:type="fixed"/>
        <w:tblLook w:firstColumn="1" w:firstRow="1" w:lastColumn="0" w:lastRow="0" w:noHBand="0" w:noVBand="1" w:val="04A0"/>
        <w:tblBorders>
          <w:top w:val="single" w:sz="4" w:color="D8D0BC"/>
          <w:left w:val="single" w:sz="4" w:color="D8D0BC"/>
          <w:bottom w:val="single" w:sz="4" w:color="D8D0BC"/>
          <w:right w:val="single" w:sz="4" w:color="D8D0BC"/>
          <w:insideH w:val="single" w:sz="4" w:color="D8D0BC"/>
          <w:insideV w:val="single" w:sz="4" w:color="D8D0BC"/>
        </w:tblBorders>
      </w:tblPr>
      <w:tblGrid>
        <w:gridCol w:w="4762"/>
        <w:gridCol w:w="4762"/>
      </w:tblGrid>
      <w:tr>
        <w:tc>
          <w:tcPr>
            <w:tcW w:type="dxa" w:w="1871"/>
            <w:shd w:val="clear" w:color="auto" w:fill="2A2C31"/>
          </w:tcPr>
          <w:p>
            <w:pPr>
              <w:spacing w:after="20"/>
            </w:pPr>
            <w:r>
              <w:rPr>
                <w:b/>
                <w:color w:val="FFFFFF"/>
                <w:sz w:val="18"/>
              </w:rPr>
              <w:t>Promise</w:t>
            </w:r>
          </w:p>
        </w:tc>
        <w:tc>
          <w:tcPr>
            <w:tcW w:type="dxa" w:w="7540"/>
            <w:shd w:val="clear" w:color="auto" w:fill="2A2C31"/>
          </w:tcPr>
          <w:p>
            <w:pPr>
              <w:spacing w:after="20"/>
            </w:pPr>
            <w:r>
              <w:rPr>
                <w:b/>
                <w:color w:val="FFFFFF"/>
                <w:sz w:val="18"/>
              </w:rPr>
              <w:t>What it means in practice</w:t>
            </w:r>
          </w:p>
        </w:tc>
      </w:tr>
      <w:tr>
        <w:tc>
          <w:tcPr>
            <w:tcW w:type="dxa" w:w="1871"/>
          </w:tcPr>
          <w:p>
            <w:pPr>
              <w:spacing w:after="20"/>
            </w:pPr>
            <w:r>
              <w:rPr>
                <w:b w:val="0"/>
                <w:sz w:val="18"/>
              </w:rPr>
              <w:t>Protect</w:t>
            </w:r>
          </w:p>
        </w:tc>
        <w:tc>
          <w:tcPr>
            <w:tcW w:type="dxa" w:w="7540"/>
          </w:tcPr>
          <w:p>
            <w:pPr>
              <w:spacing w:after="20"/>
            </w:pPr>
            <w:r>
              <w:rPr>
                <w:b w:val="0"/>
                <w:sz w:val="18"/>
              </w:rPr>
              <w:t>Spot a scam, a bad loan or a missed benefit before it costs money; and tell a person exactly what to do in the first hour if it already has.</w:t>
            </w:r>
          </w:p>
        </w:tc>
      </w:tr>
      <w:tr>
        <w:tc>
          <w:tcPr>
            <w:tcW w:type="dxa" w:w="1871"/>
            <w:shd w:val="clear" w:color="auto" w:fill="FAF6EA"/>
          </w:tcPr>
          <w:p>
            <w:pPr>
              <w:spacing w:after="20"/>
            </w:pPr>
            <w:r>
              <w:rPr>
                <w:b w:val="0"/>
                <w:sz w:val="18"/>
              </w:rPr>
              <w:t>Explain</w:t>
            </w:r>
          </w:p>
        </w:tc>
        <w:tc>
          <w:tcPr>
            <w:tcW w:type="dxa" w:w="7540"/>
            <w:shd w:val="clear" w:color="auto" w:fill="FAF6EA"/>
          </w:tcPr>
          <w:p>
            <w:pPr>
              <w:spacing w:after="20"/>
            </w:pPr>
            <w:r>
              <w:rPr>
                <w:b w:val="0"/>
                <w:sz w:val="18"/>
              </w:rPr>
              <w:t>Answer the real question asked, in plain words, with the working shown, in the person's language, spoken or written.</w:t>
            </w:r>
          </w:p>
        </w:tc>
      </w:tr>
      <w:tr>
        <w:tc>
          <w:tcPr>
            <w:tcW w:type="dxa" w:w="1871"/>
          </w:tcPr>
          <w:p>
            <w:pPr>
              <w:spacing w:after="20"/>
            </w:pPr>
            <w:r>
              <w:rPr>
                <w:b w:val="0"/>
                <w:sz w:val="18"/>
              </w:rPr>
              <w:t>Stay honest</w:t>
            </w:r>
          </w:p>
        </w:tc>
        <w:tc>
          <w:tcPr>
            <w:tcW w:type="dxa" w:w="7540"/>
          </w:tcPr>
          <w:p>
            <w:pPr>
              <w:spacing w:after="20"/>
            </w:pPr>
            <w:r>
              <w:rPr>
                <w:b w:val="0"/>
                <w:sz w:val="18"/>
              </w:rPr>
              <w:t>Free, local and private by design; no hidden numbers; a record of every decision that cannot be quietly edited.</w:t>
            </w:r>
          </w:p>
        </w:tc>
      </w:tr>
    </w:tbl>
    <w:p>
      <w:pPr>
        <w:spacing w:after="40"/>
      </w:pPr>
    </w:p>
    <w:p>
      <w:pPr>
        <w:keepNext/>
        <w:spacing w:after="40"/>
        <w:jc w:val="center"/>
      </w:pPr>
      <w:r>
        <w:drawing>
          <wp:inline xmlns:a="http://schemas.openxmlformats.org/drawingml/2006/main" xmlns:pic="http://schemas.openxmlformats.org/drawingml/2006/picture">
            <wp:extent cx="4500000" cy="1389529"/>
            <wp:docPr id="1" name="Picture 1"/>
            <wp:cNvGraphicFramePr>
              <a:graphicFrameLocks noChangeAspect="1"/>
            </wp:cNvGraphicFramePr>
            <a:graphic>
              <a:graphicData uri="http://schemas.openxmlformats.org/drawingml/2006/picture">
                <pic:pic>
                  <pic:nvPicPr>
                    <pic:cNvPr id="0" name="audience.png"/>
                    <pic:cNvPicPr/>
                  </pic:nvPicPr>
                  <pic:blipFill>
                    <a:blip r:embed="rId10"/>
                    <a:stretch>
                      <a:fillRect/>
                    </a:stretch>
                  </pic:blipFill>
                  <pic:spPr>
                    <a:xfrm>
                      <a:off x="0" y="0"/>
                      <a:ext cx="4500000" cy="1389529"/>
                    </a:xfrm>
                    <a:prstGeom prst="rect"/>
                  </pic:spPr>
                </pic:pic>
              </a:graphicData>
            </a:graphic>
          </wp:inline>
        </w:drawing>
      </w:r>
    </w:p>
    <w:p>
      <w:pPr>
        <w:spacing w:after="160"/>
        <w:jc w:val="center"/>
      </w:pPr>
      <w:r>
        <w:rPr>
          <w:b w:val="0"/>
          <w:i/>
          <w:color w:val="6B675C"/>
          <w:sz w:val="17"/>
        </w:rPr>
        <w:t>Figure 1. The design weighting. The 75/20/5 split is how effort and features are prioritised, not a measured customer count.</w:t>
      </w:r>
    </w:p>
    <w:p>
      <w:pPr>
        <w:pStyle w:val="Heading1"/>
        <w:pageBreakBefore/>
      </w:pPr>
      <w:r>
        <w:t>2. The problem we are solving, and for whom</w:t>
      </w:r>
    </w:p>
    <w:p>
      <w:r>
        <w:rPr>
          <w:b w:val="0"/>
        </w:rPr>
        <w:t>India has built world-class payment rails (UPI) and a huge base of bank accounts, but understanding has not kept pace. Surveys of financial literacy have repeatedly found only about a quarter of adults able to answer basic questions on interest, inflation and risk (the 2019 national survey put it near 27%). Meanwhile digital fraud has grown with digital payments, and a national cyber-fraud helpline (1930) exists because the volume is high. The result is a gap between access and safe use.</w:t>
      </w:r>
    </w:p>
    <w:p>
      <w:pPr>
        <w:keepNext/>
        <w:spacing w:after="40"/>
        <w:jc w:val="center"/>
      </w:pPr>
      <w:r>
        <w:drawing>
          <wp:inline xmlns:a="http://schemas.openxmlformats.org/drawingml/2006/main" xmlns:pic="http://schemas.openxmlformats.org/drawingml/2006/picture">
            <wp:extent cx="5832000" cy="3449184"/>
            <wp:docPr id="2" name="Picture 2"/>
            <wp:cNvGraphicFramePr>
              <a:graphicFrameLocks noChangeAspect="1"/>
            </wp:cNvGraphicFramePr>
            <a:graphic>
              <a:graphicData uri="http://schemas.openxmlformats.org/drawingml/2006/picture">
                <pic:pic>
                  <pic:nvPicPr>
                    <pic:cNvPr id="0" name="problems.png"/>
                    <pic:cNvPicPr/>
                  </pic:nvPicPr>
                  <pic:blipFill>
                    <a:blip r:embed="rId11"/>
                    <a:stretch>
                      <a:fillRect/>
                    </a:stretch>
                  </pic:blipFill>
                  <pic:spPr>
                    <a:xfrm>
                      <a:off x="0" y="0"/>
                      <a:ext cx="5832000" cy="3449184"/>
                    </a:xfrm>
                    <a:prstGeom prst="rect"/>
                  </pic:spPr>
                </pic:pic>
              </a:graphicData>
            </a:graphic>
          </wp:inline>
        </w:drawing>
      </w:r>
    </w:p>
    <w:p>
      <w:pPr>
        <w:spacing w:after="160"/>
        <w:jc w:val="center"/>
      </w:pPr>
      <w:r>
        <w:rPr>
          <w:b w:val="0"/>
          <w:i/>
          <w:color w:val="6B675C"/>
          <w:sz w:val="17"/>
        </w:rPr>
        <w:t>Figure 2. Seven problems people actually live with, and the part of the platform that answers each.</w:t>
      </w:r>
    </w:p>
    <w:p>
      <w:pPr>
        <w:pStyle w:val="Heading2"/>
      </w:pPr>
      <w:r>
        <w:t>Problems in more detail</w:t>
      </w:r>
    </w:p>
    <w:tbl>
      <w:tblPr>
        <w:tblW w:type="auto" w:w="0"/>
        <w:jc w:val="center"/>
        <w:tblLayout w:type="fixed"/>
        <w:tblLook w:firstColumn="1" w:firstRow="1" w:lastColumn="0" w:lastRow="0" w:noHBand="0" w:noVBand="1" w:val="04A0"/>
        <w:tblBorders>
          <w:top w:val="single" w:sz="4" w:color="D8D0BC"/>
          <w:left w:val="single" w:sz="4" w:color="D8D0BC"/>
          <w:bottom w:val="single" w:sz="4" w:color="D8D0BC"/>
          <w:right w:val="single" w:sz="4" w:color="D8D0BC"/>
          <w:insideH w:val="single" w:sz="4" w:color="D8D0BC"/>
          <w:insideV w:val="single" w:sz="4" w:color="D8D0BC"/>
        </w:tblBorders>
      </w:tblPr>
      <w:tblGrid>
        <w:gridCol w:w="2381"/>
        <w:gridCol w:w="2381"/>
        <w:gridCol w:w="2381"/>
        <w:gridCol w:w="2381"/>
      </w:tblGrid>
      <w:tr>
        <w:tc>
          <w:tcPr>
            <w:tcW w:type="dxa" w:w="2041"/>
            <w:shd w:val="clear" w:color="auto" w:fill="2A2C31"/>
          </w:tcPr>
          <w:p>
            <w:pPr>
              <w:spacing w:after="20"/>
            </w:pPr>
            <w:r>
              <w:rPr>
                <w:b/>
                <w:color w:val="FFFFFF"/>
                <w:sz w:val="16"/>
              </w:rPr>
              <w:t>Problem</w:t>
            </w:r>
          </w:p>
        </w:tc>
        <w:tc>
          <w:tcPr>
            <w:tcW w:type="dxa" w:w="1928"/>
            <w:shd w:val="clear" w:color="auto" w:fill="2A2C31"/>
          </w:tcPr>
          <w:p>
            <w:pPr>
              <w:spacing w:after="20"/>
            </w:pPr>
            <w:r>
              <w:rPr>
                <w:b/>
                <w:color w:val="FFFFFF"/>
                <w:sz w:val="16"/>
              </w:rPr>
              <w:t>Who suffers</w:t>
            </w:r>
          </w:p>
        </w:tc>
        <w:tc>
          <w:tcPr>
            <w:tcW w:type="dxa" w:w="2665"/>
            <w:shd w:val="clear" w:color="auto" w:fill="2A2C31"/>
          </w:tcPr>
          <w:p>
            <w:pPr>
              <w:spacing w:after="20"/>
            </w:pPr>
            <w:r>
              <w:rPr>
                <w:b/>
                <w:color w:val="FFFFFF"/>
                <w:sz w:val="16"/>
              </w:rPr>
              <w:t>Why it persists</w:t>
            </w:r>
          </w:p>
        </w:tc>
        <w:tc>
          <w:tcPr>
            <w:tcW w:type="dxa" w:w="2778"/>
            <w:shd w:val="clear" w:color="auto" w:fill="2A2C31"/>
          </w:tcPr>
          <w:p>
            <w:pPr>
              <w:spacing w:after="20"/>
            </w:pPr>
            <w:r>
              <w:rPr>
                <w:b/>
                <w:color w:val="FFFFFF"/>
                <w:sz w:val="16"/>
              </w:rPr>
              <w:t>Our answer</w:t>
            </w:r>
          </w:p>
        </w:tc>
      </w:tr>
      <w:tr>
        <w:tc>
          <w:tcPr>
            <w:tcW w:type="dxa" w:w="2041"/>
          </w:tcPr>
          <w:p>
            <w:pPr>
              <w:spacing w:after="20"/>
            </w:pPr>
            <w:r>
              <w:rPr>
                <w:b w:val="0"/>
                <w:sz w:val="16"/>
              </w:rPr>
              <w:t>Moneylender interest is quoted per month, per hundred</w:t>
            </w:r>
          </w:p>
        </w:tc>
        <w:tc>
          <w:tcPr>
            <w:tcW w:type="dxa" w:w="1928"/>
          </w:tcPr>
          <w:p>
            <w:pPr>
              <w:spacing w:after="20"/>
            </w:pPr>
            <w:r>
              <w:rPr>
                <w:b w:val="0"/>
                <w:sz w:val="16"/>
              </w:rPr>
              <w:t>Farmers, daily-wage workers, small traders</w:t>
            </w:r>
          </w:p>
        </w:tc>
        <w:tc>
          <w:tcPr>
            <w:tcW w:type="dxa" w:w="2665"/>
          </w:tcPr>
          <w:p>
            <w:pPr>
              <w:spacing w:after="20"/>
            </w:pPr>
            <w:r>
              <w:rPr>
                <w:b w:val="0"/>
                <w:sz w:val="16"/>
              </w:rPr>
              <w:t>No one converts it to a yearly figure; '5 per hundred' sounds small (it is 60% a year)</w:t>
            </w:r>
          </w:p>
        </w:tc>
        <w:tc>
          <w:tcPr>
            <w:tcW w:type="dxa" w:w="2778"/>
          </w:tcPr>
          <w:p>
            <w:pPr>
              <w:spacing w:after="20"/>
            </w:pPr>
            <w:r>
              <w:rPr>
                <w:b w:val="0"/>
                <w:sz w:val="16"/>
              </w:rPr>
              <w:t>Moneylender check: yearly cost, rupees paid, comparison with a bank loan</w:t>
            </w:r>
          </w:p>
        </w:tc>
      </w:tr>
      <w:tr>
        <w:tc>
          <w:tcPr>
            <w:tcW w:type="dxa" w:w="2041"/>
            <w:shd w:val="clear" w:color="auto" w:fill="FAF6EA"/>
          </w:tcPr>
          <w:p>
            <w:pPr>
              <w:spacing w:after="20"/>
            </w:pPr>
            <w:r>
              <w:rPr>
                <w:b w:val="0"/>
                <w:sz w:val="16"/>
              </w:rPr>
              <w:t>Scams by call, SMS, group chat</w:t>
            </w:r>
          </w:p>
        </w:tc>
        <w:tc>
          <w:tcPr>
            <w:tcW w:type="dxa" w:w="1928"/>
            <w:shd w:val="clear" w:color="auto" w:fill="FAF6EA"/>
          </w:tcPr>
          <w:p>
            <w:pPr>
              <w:spacing w:after="20"/>
            </w:pPr>
            <w:r>
              <w:rPr>
                <w:b w:val="0"/>
                <w:sz w:val="16"/>
              </w:rPr>
              <w:t>Everyone, but loss hurts most when savings are small</w:t>
            </w:r>
          </w:p>
        </w:tc>
        <w:tc>
          <w:tcPr>
            <w:tcW w:type="dxa" w:w="2665"/>
            <w:shd w:val="clear" w:color="auto" w:fill="FAF6EA"/>
          </w:tcPr>
          <w:p>
            <w:pPr>
              <w:spacing w:after="20"/>
            </w:pPr>
            <w:r>
              <w:rPr>
                <w:b w:val="0"/>
                <w:sz w:val="16"/>
              </w:rPr>
              <w:t>Urgency and secrecy; no one to ask; same reply for every scam from most tools</w:t>
            </w:r>
          </w:p>
        </w:tc>
        <w:tc>
          <w:tcPr>
            <w:tcW w:type="dxa" w:w="2778"/>
            <w:shd w:val="clear" w:color="auto" w:fill="FAF6EA"/>
          </w:tcPr>
          <w:p>
            <w:pPr>
              <w:spacing w:after="20"/>
            </w:pPr>
            <w:r>
              <w:rPr>
                <w:b w:val="0"/>
                <w:sz w:val="16"/>
              </w:rPr>
              <w:t>Nine scam scripts, rehearsal, recovery coach, UPI and offer checks</w:t>
            </w:r>
          </w:p>
        </w:tc>
      </w:tr>
      <w:tr>
        <w:tc>
          <w:tcPr>
            <w:tcW w:type="dxa" w:w="2041"/>
          </w:tcPr>
          <w:p>
            <w:pPr>
              <w:spacing w:after="20"/>
            </w:pPr>
            <w:r>
              <w:rPr>
                <w:b w:val="0"/>
                <w:sz w:val="16"/>
              </w:rPr>
              <w:t>Government benefits unclaimed or stuck</w:t>
            </w:r>
          </w:p>
        </w:tc>
        <w:tc>
          <w:tcPr>
            <w:tcW w:type="dxa" w:w="1928"/>
          </w:tcPr>
          <w:p>
            <w:pPr>
              <w:spacing w:after="20"/>
            </w:pPr>
            <w:r>
              <w:rPr>
                <w:b w:val="0"/>
                <w:sz w:val="16"/>
              </w:rPr>
              <w:t>Rural and urban poor, pensioners, students</w:t>
            </w:r>
          </w:p>
        </w:tc>
        <w:tc>
          <w:tcPr>
            <w:tcW w:type="dxa" w:w="2665"/>
          </w:tcPr>
          <w:p>
            <w:pPr>
              <w:spacing w:after="20"/>
            </w:pPr>
            <w:r>
              <w:rPr>
                <w:b w:val="0"/>
                <w:sz w:val="16"/>
              </w:rPr>
              <w:t>Eligibility is scattered; Aadhaar-bank seeding errors; no tracing tool</w:t>
            </w:r>
          </w:p>
        </w:tc>
        <w:tc>
          <w:tcPr>
            <w:tcW w:type="dxa" w:w="2778"/>
          </w:tcPr>
          <w:p>
            <w:pPr>
              <w:spacing w:after="20"/>
            </w:pPr>
            <w:r>
              <w:rPr>
                <w:b w:val="0"/>
                <w:sz w:val="16"/>
              </w:rPr>
              <w:t>Schemes finder, papers checklist, 'why no money?' payment tracer</w:t>
            </w:r>
          </w:p>
        </w:tc>
      </w:tr>
      <w:tr>
        <w:tc>
          <w:tcPr>
            <w:tcW w:type="dxa" w:w="2041"/>
            <w:shd w:val="clear" w:color="auto" w:fill="FAF6EA"/>
          </w:tcPr>
          <w:p>
            <w:pPr>
              <w:spacing w:after="20"/>
            </w:pPr>
            <w:r>
              <w:rPr>
                <w:b w:val="0"/>
                <w:sz w:val="16"/>
              </w:rPr>
              <w:t>Irregular income</w:t>
            </w:r>
          </w:p>
        </w:tc>
        <w:tc>
          <w:tcPr>
            <w:tcW w:type="dxa" w:w="1928"/>
            <w:shd w:val="clear" w:color="auto" w:fill="FAF6EA"/>
          </w:tcPr>
          <w:p>
            <w:pPr>
              <w:spacing w:after="20"/>
            </w:pPr>
            <w:r>
              <w:rPr>
                <w:b w:val="0"/>
                <w:sz w:val="16"/>
              </w:rPr>
              <w:t>Farm families, casual labour</w:t>
            </w:r>
          </w:p>
        </w:tc>
        <w:tc>
          <w:tcPr>
            <w:tcW w:type="dxa" w:w="2665"/>
            <w:shd w:val="clear" w:color="auto" w:fill="FAF6EA"/>
          </w:tcPr>
          <w:p>
            <w:pPr>
              <w:spacing w:after="20"/>
            </w:pPr>
            <w:r>
              <w:rPr>
                <w:b w:val="0"/>
                <w:sz w:val="16"/>
              </w:rPr>
              <w:t>Budget tools assume a monthly salary</w:t>
            </w:r>
          </w:p>
        </w:tc>
        <w:tc>
          <w:tcPr>
            <w:tcW w:type="dxa" w:w="2778"/>
            <w:shd w:val="clear" w:color="auto" w:fill="FAF6EA"/>
          </w:tcPr>
          <w:p>
            <w:pPr>
              <w:spacing w:after="20"/>
            </w:pPr>
            <w:r>
              <w:rPr>
                <w:b w:val="0"/>
                <w:sz w:val="16"/>
              </w:rPr>
              <w:t>Plan-my-year, sell-or-hold, daily saving, SHG ledger</w:t>
            </w:r>
          </w:p>
        </w:tc>
      </w:tr>
      <w:tr>
        <w:tc>
          <w:tcPr>
            <w:tcW w:type="dxa" w:w="2041"/>
          </w:tcPr>
          <w:p>
            <w:pPr>
              <w:spacing w:after="20"/>
            </w:pPr>
            <w:r>
              <w:rPr>
                <w:b w:val="0"/>
                <w:sz w:val="16"/>
              </w:rPr>
              <w:t>Language and access</w:t>
            </w:r>
          </w:p>
        </w:tc>
        <w:tc>
          <w:tcPr>
            <w:tcW w:type="dxa" w:w="1928"/>
          </w:tcPr>
          <w:p>
            <w:pPr>
              <w:spacing w:after="20"/>
            </w:pPr>
            <w:r>
              <w:rPr>
                <w:b w:val="0"/>
                <w:sz w:val="16"/>
              </w:rPr>
              <w:t>Hindi-first, low-literacy, feature-phone users</w:t>
            </w:r>
          </w:p>
        </w:tc>
        <w:tc>
          <w:tcPr>
            <w:tcW w:type="dxa" w:w="2665"/>
          </w:tcPr>
          <w:p>
            <w:pPr>
              <w:spacing w:after="20"/>
            </w:pPr>
            <w:r>
              <w:rPr>
                <w:b w:val="0"/>
                <w:sz w:val="16"/>
              </w:rPr>
              <w:t>Fintech is English, app-based, data-hungry</w:t>
            </w:r>
          </w:p>
        </w:tc>
        <w:tc>
          <w:tcPr>
            <w:tcW w:type="dxa" w:w="2778"/>
          </w:tcPr>
          <w:p>
            <w:pPr>
              <w:spacing w:after="20"/>
            </w:pPr>
            <w:r>
              <w:rPr>
                <w:b w:val="0"/>
                <w:sz w:val="16"/>
              </w:rPr>
              <w:t>Hindi voice, WhatsApp/SMS, offline pack, shared-device kiosk</w:t>
            </w:r>
          </w:p>
        </w:tc>
      </w:tr>
      <w:tr>
        <w:tc>
          <w:tcPr>
            <w:tcW w:type="dxa" w:w="2041"/>
            <w:shd w:val="clear" w:color="auto" w:fill="FAF6EA"/>
          </w:tcPr>
          <w:p>
            <w:pPr>
              <w:spacing w:after="20"/>
            </w:pPr>
            <w:r>
              <w:rPr>
                <w:b w:val="0"/>
                <w:sz w:val="16"/>
              </w:rPr>
              <w:t>Investing without understanding</w:t>
            </w:r>
          </w:p>
        </w:tc>
        <w:tc>
          <w:tcPr>
            <w:tcW w:type="dxa" w:w="1928"/>
            <w:shd w:val="clear" w:color="auto" w:fill="FAF6EA"/>
          </w:tcPr>
          <w:p>
            <w:pPr>
              <w:spacing w:after="20"/>
            </w:pPr>
            <w:r>
              <w:rPr>
                <w:b w:val="0"/>
                <w:sz w:val="16"/>
              </w:rPr>
              <w:t>First-time and middle-class investors</w:t>
            </w:r>
          </w:p>
        </w:tc>
        <w:tc>
          <w:tcPr>
            <w:tcW w:type="dxa" w:w="2665"/>
            <w:shd w:val="clear" w:color="auto" w:fill="FAF6EA"/>
          </w:tcPr>
          <w:p>
            <w:pPr>
              <w:spacing w:after="20"/>
            </w:pPr>
            <w:r>
              <w:rPr>
                <w:b w:val="0"/>
                <w:sz w:val="16"/>
              </w:rPr>
              <w:t>Fees, overlap, tax and risk are hidden; influencers fill the gap</w:t>
            </w:r>
          </w:p>
        </w:tc>
        <w:tc>
          <w:tcPr>
            <w:tcW w:type="dxa" w:w="2778"/>
            <w:shd w:val="clear" w:color="auto" w:fill="FAF6EA"/>
          </w:tcPr>
          <w:p>
            <w:pPr>
              <w:spacing w:after="20"/>
            </w:pPr>
            <w:r>
              <w:rPr>
                <w:b w:val="0"/>
                <w:sz w:val="16"/>
              </w:rPr>
              <w:t>Fee drag, overlap, tax shield, plain research summary, concept answers</w:t>
            </w:r>
          </w:p>
        </w:tc>
      </w:tr>
      <w:tr>
        <w:tc>
          <w:tcPr>
            <w:tcW w:type="dxa" w:w="2041"/>
          </w:tcPr>
          <w:p>
            <w:pPr>
              <w:spacing w:after="20"/>
            </w:pPr>
            <w:r>
              <w:rPr>
                <w:b w:val="0"/>
                <w:sz w:val="16"/>
              </w:rPr>
              <w:t>No enforceable discipline</w:t>
            </w:r>
          </w:p>
        </w:tc>
        <w:tc>
          <w:tcPr>
            <w:tcW w:type="dxa" w:w="1928"/>
          </w:tcPr>
          <w:p>
            <w:pPr>
              <w:spacing w:after="20"/>
            </w:pPr>
            <w:r>
              <w:rPr>
                <w:b w:val="0"/>
                <w:sz w:val="16"/>
              </w:rPr>
              <w:t>Serious investors, family offices, advisers</w:t>
            </w:r>
          </w:p>
        </w:tc>
        <w:tc>
          <w:tcPr>
            <w:tcW w:type="dxa" w:w="2665"/>
          </w:tcPr>
          <w:p>
            <w:pPr>
              <w:spacing w:after="20"/>
            </w:pPr>
            <w:r>
              <w:rPr>
                <w:b w:val="0"/>
                <w:sz w:val="16"/>
              </w:rPr>
              <w:t>Limits live in spreadsheets and can be overridden or edited</w:t>
            </w:r>
          </w:p>
        </w:tc>
        <w:tc>
          <w:tcPr>
            <w:tcW w:type="dxa" w:w="2778"/>
          </w:tcPr>
          <w:p>
            <w:pPr>
              <w:spacing w:after="20"/>
            </w:pPr>
            <w:r>
              <w:rPr>
                <w:b w:val="0"/>
                <w:sz w:val="16"/>
              </w:rPr>
              <w:t>Risk firewall, hash-chained audit record, attribution</w:t>
            </w:r>
          </w:p>
        </w:tc>
      </w:tr>
    </w:tbl>
    <w:p>
      <w:pPr>
        <w:spacing w:after="40"/>
      </w:pPr>
    </w:p>
    <w:p>
      <w:pPr>
        <w:pStyle w:val="Heading2"/>
      </w:pPr>
      <w:r>
        <w:t>The size of the gap</w:t>
      </w:r>
    </w:p>
    <w:tbl>
      <w:tblPr>
        <w:tblW w:type="auto" w:w="0"/>
        <w:jc w:val="center"/>
        <w:tblLayout w:type="fixed"/>
        <w:tblLook w:firstColumn="1" w:firstRow="1" w:lastColumn="0" w:lastRow="0" w:noHBand="0" w:noVBand="1" w:val="04A0"/>
        <w:tblBorders>
          <w:top w:val="single" w:sz="4" w:color="D8D0BC"/>
          <w:left w:val="single" w:sz="4" w:color="D8D0BC"/>
          <w:bottom w:val="single" w:sz="4" w:color="D8D0BC"/>
          <w:right w:val="single" w:sz="4" w:color="D8D0BC"/>
          <w:insideH w:val="single" w:sz="4" w:color="D8D0BC"/>
          <w:insideV w:val="single" w:sz="4" w:color="D8D0BC"/>
        </w:tblBorders>
      </w:tblPr>
      <w:tblGrid>
        <w:gridCol w:w="3175"/>
        <w:gridCol w:w="3175"/>
        <w:gridCol w:w="3175"/>
      </w:tblGrid>
      <w:tr>
        <w:tc>
          <w:tcPr>
            <w:tcW w:type="dxa" w:w="3175"/>
            <w:shd w:val="clear" w:color="auto" w:fill="2A2C31"/>
          </w:tcPr>
          <w:p>
            <w:pPr>
              <w:spacing w:after="20"/>
            </w:pPr>
            <w:r>
              <w:rPr>
                <w:b/>
                <w:color w:val="FFFFFF"/>
                <w:sz w:val="16"/>
              </w:rPr>
              <w:t>Indicator (rounded, public)</w:t>
            </w:r>
          </w:p>
        </w:tc>
        <w:tc>
          <w:tcPr>
            <w:tcW w:type="dxa" w:w="3175"/>
            <w:shd w:val="clear" w:color="auto" w:fill="2A2C31"/>
          </w:tcPr>
          <w:p>
            <w:pPr>
              <w:spacing w:after="20"/>
            </w:pPr>
            <w:r>
              <w:rPr>
                <w:b/>
                <w:color w:val="FFFFFF"/>
                <w:sz w:val="16"/>
              </w:rPr>
              <w:t>What it says</w:t>
            </w:r>
          </w:p>
        </w:tc>
        <w:tc>
          <w:tcPr>
            <w:tcW w:type="dxa" w:w="3061"/>
            <w:shd w:val="clear" w:color="auto" w:fill="2A2C31"/>
          </w:tcPr>
          <w:p>
            <w:pPr>
              <w:spacing w:after="20"/>
            </w:pPr>
            <w:r>
              <w:rPr>
                <w:b/>
                <w:color w:val="FFFFFF"/>
                <w:sz w:val="16"/>
              </w:rPr>
              <w:t>Why it matters here</w:t>
            </w:r>
          </w:p>
        </w:tc>
      </w:tr>
      <w:tr>
        <w:tc>
          <w:tcPr>
            <w:tcW w:type="dxa" w:w="3175"/>
          </w:tcPr>
          <w:p>
            <w:pPr>
              <w:spacing w:after="20"/>
            </w:pPr>
            <w:r>
              <w:rPr>
                <w:b w:val="0"/>
                <w:sz w:val="16"/>
              </w:rPr>
              <w:t>About 1.4 billion people, roughly two-thirds in rural areas</w:t>
            </w:r>
          </w:p>
        </w:tc>
        <w:tc>
          <w:tcPr>
            <w:tcW w:type="dxa" w:w="3175"/>
          </w:tcPr>
          <w:p>
            <w:pPr>
              <w:spacing w:after="20"/>
            </w:pPr>
            <w:r>
              <w:rPr>
                <w:b w:val="0"/>
                <w:sz w:val="16"/>
              </w:rPr>
              <w:t>Most Indians live where branches, advisers and English are scarce</w:t>
            </w:r>
          </w:p>
        </w:tc>
        <w:tc>
          <w:tcPr>
            <w:tcW w:type="dxa" w:w="3061"/>
          </w:tcPr>
          <w:p>
            <w:pPr>
              <w:spacing w:after="20"/>
            </w:pPr>
            <w:r>
              <w:rPr>
                <w:b w:val="0"/>
                <w:sz w:val="16"/>
              </w:rPr>
              <w:t>A rural-first design reaches the largest group</w:t>
            </w:r>
          </w:p>
        </w:tc>
      </w:tr>
      <w:tr>
        <w:tc>
          <w:tcPr>
            <w:tcW w:type="dxa" w:w="3175"/>
            <w:shd w:val="clear" w:color="auto" w:fill="FAF6EA"/>
          </w:tcPr>
          <w:p>
            <w:pPr>
              <w:spacing w:after="20"/>
            </w:pPr>
            <w:r>
              <w:rPr>
                <w:b w:val="0"/>
                <w:sz w:val="16"/>
              </w:rPr>
              <w:t>Over 50 crore Jan Dhan accounts; UPI runs well over 15 billion payments a month</w:t>
            </w:r>
          </w:p>
        </w:tc>
        <w:tc>
          <w:tcPr>
            <w:tcW w:type="dxa" w:w="3175"/>
            <w:shd w:val="clear" w:color="auto" w:fill="FAF6EA"/>
          </w:tcPr>
          <w:p>
            <w:pPr>
              <w:spacing w:after="20"/>
            </w:pPr>
            <w:r>
              <w:rPr>
                <w:b w:val="0"/>
                <w:sz w:val="16"/>
              </w:rPr>
              <w:t>Access and digital payments are widespread</w:t>
            </w:r>
          </w:p>
        </w:tc>
        <w:tc>
          <w:tcPr>
            <w:tcW w:type="dxa" w:w="3061"/>
            <w:shd w:val="clear" w:color="auto" w:fill="FAF6EA"/>
          </w:tcPr>
          <w:p>
            <w:pPr>
              <w:spacing w:after="20"/>
            </w:pPr>
            <w:r>
              <w:rPr>
                <w:b w:val="0"/>
                <w:sz w:val="16"/>
              </w:rPr>
              <w:t>Safe use, not access, is the gap</w:t>
            </w:r>
          </w:p>
        </w:tc>
      </w:tr>
      <w:tr>
        <w:tc>
          <w:tcPr>
            <w:tcW w:type="dxa" w:w="3175"/>
          </w:tcPr>
          <w:p>
            <w:pPr>
              <w:spacing w:after="20"/>
            </w:pPr>
            <w:r>
              <w:rPr>
                <w:b w:val="0"/>
                <w:sz w:val="16"/>
              </w:rPr>
              <w:t>Financial literacy near 27% of adults (2019 national survey)</w:t>
            </w:r>
          </w:p>
        </w:tc>
        <w:tc>
          <w:tcPr>
            <w:tcW w:type="dxa" w:w="3175"/>
          </w:tcPr>
          <w:p>
            <w:pPr>
              <w:spacing w:after="20"/>
            </w:pPr>
            <w:r>
              <w:rPr>
                <w:b w:val="0"/>
                <w:sz w:val="16"/>
              </w:rPr>
              <w:t>Most adults cannot answer basic interest, inflation and risk questions</w:t>
            </w:r>
          </w:p>
        </w:tc>
        <w:tc>
          <w:tcPr>
            <w:tcW w:type="dxa" w:w="3061"/>
          </w:tcPr>
          <w:p>
            <w:pPr>
              <w:spacing w:after="20"/>
            </w:pPr>
            <w:r>
              <w:rPr>
                <w:b w:val="0"/>
                <w:sz w:val="16"/>
              </w:rPr>
              <w:t>Plain explanation is the unmet need</w:t>
            </w:r>
          </w:p>
        </w:tc>
      </w:tr>
      <w:tr>
        <w:tc>
          <w:tcPr>
            <w:tcW w:type="dxa" w:w="3175"/>
            <w:shd w:val="clear" w:color="auto" w:fill="FAF6EA"/>
          </w:tcPr>
          <w:p>
            <w:pPr>
              <w:spacing w:after="20"/>
            </w:pPr>
            <w:r>
              <w:rPr>
                <w:b w:val="0"/>
                <w:sz w:val="16"/>
              </w:rPr>
              <w:t>About 9-10 crore women in roughly 90 lakh self-help groups</w:t>
            </w:r>
          </w:p>
        </w:tc>
        <w:tc>
          <w:tcPr>
            <w:tcW w:type="dxa" w:w="3175"/>
            <w:shd w:val="clear" w:color="auto" w:fill="FAF6EA"/>
          </w:tcPr>
          <w:p>
            <w:pPr>
              <w:spacing w:after="20"/>
            </w:pPr>
            <w:r>
              <w:rPr>
                <w:b w:val="0"/>
                <w:sz w:val="16"/>
              </w:rPr>
              <w:t>Trusted local savings networks already exist</w:t>
            </w:r>
          </w:p>
        </w:tc>
        <w:tc>
          <w:tcPr>
            <w:tcW w:type="dxa" w:w="3061"/>
            <w:shd w:val="clear" w:color="auto" w:fill="FAF6EA"/>
          </w:tcPr>
          <w:p>
            <w:pPr>
              <w:spacing w:after="20"/>
            </w:pPr>
            <w:r>
              <w:rPr>
                <w:b w:val="0"/>
                <w:sz w:val="16"/>
              </w:rPr>
              <w:t>Natural distribution channel and a ledger need</w:t>
            </w:r>
          </w:p>
        </w:tc>
      </w:tr>
      <w:tr>
        <w:tc>
          <w:tcPr>
            <w:tcW w:type="dxa" w:w="3175"/>
          </w:tcPr>
          <w:p>
            <w:pPr>
              <w:spacing w:after="20"/>
            </w:pPr>
            <w:r>
              <w:rPr>
                <w:b w:val="0"/>
                <w:sz w:val="16"/>
              </w:rPr>
              <w:t>Around 5 lakh Common Service Centres</w:t>
            </w:r>
          </w:p>
        </w:tc>
        <w:tc>
          <w:tcPr>
            <w:tcW w:type="dxa" w:w="3175"/>
          </w:tcPr>
          <w:p>
            <w:pPr>
              <w:spacing w:after="20"/>
            </w:pPr>
            <w:r>
              <w:rPr>
                <w:b w:val="0"/>
                <w:sz w:val="16"/>
              </w:rPr>
              <w:t>Village-level digital service points</w:t>
            </w:r>
          </w:p>
        </w:tc>
        <w:tc>
          <w:tcPr>
            <w:tcW w:type="dxa" w:w="3061"/>
          </w:tcPr>
          <w:p>
            <w:pPr>
              <w:spacing w:after="20"/>
            </w:pPr>
            <w:r>
              <w:rPr>
                <w:b w:val="0"/>
                <w:sz w:val="16"/>
              </w:rPr>
              <w:t>Shared-device and kiosk deployment</w:t>
            </w:r>
          </w:p>
        </w:tc>
      </w:tr>
      <w:tr>
        <w:tc>
          <w:tcPr>
            <w:tcW w:type="dxa" w:w="3175"/>
            <w:shd w:val="clear" w:color="auto" w:fill="FAF6EA"/>
          </w:tcPr>
          <w:p>
            <w:pPr>
              <w:spacing w:after="20"/>
            </w:pPr>
            <w:r>
              <w:rPr>
                <w:b w:val="0"/>
                <w:sz w:val="16"/>
              </w:rPr>
              <w:t>Demat accounts well above 15 crore</w:t>
            </w:r>
          </w:p>
        </w:tc>
        <w:tc>
          <w:tcPr>
            <w:tcW w:type="dxa" w:w="3175"/>
            <w:shd w:val="clear" w:color="auto" w:fill="FAF6EA"/>
          </w:tcPr>
          <w:p>
            <w:pPr>
              <w:spacing w:after="20"/>
            </w:pPr>
            <w:r>
              <w:rPr>
                <w:b w:val="0"/>
                <w:sz w:val="16"/>
              </w:rPr>
              <w:t>A fast-growing first-time investor base</w:t>
            </w:r>
          </w:p>
        </w:tc>
        <w:tc>
          <w:tcPr>
            <w:tcW w:type="dxa" w:w="3061"/>
            <w:shd w:val="clear" w:color="auto" w:fill="FAF6EA"/>
          </w:tcPr>
          <w:p>
            <w:pPr>
              <w:spacing w:after="20"/>
            </w:pPr>
            <w:r>
              <w:rPr>
                <w:b w:val="0"/>
                <w:sz w:val="16"/>
              </w:rPr>
              <w:t>The 20% needs fee, risk and tip-checking help</w:t>
            </w:r>
          </w:p>
        </w:tc>
      </w:tr>
    </w:tbl>
    <w:p>
      <w:pPr>
        <w:spacing w:after="40"/>
      </w:pPr>
    </w:p>
    <w:p>
      <w:r>
        <w:rPr>
          <w:b w:val="0"/>
          <w:i/>
          <w:color w:val="6B675C"/>
          <w:sz w:val="17"/>
        </w:rPr>
        <w:t>Indicative figures from public releases (government, regulators, payment and depository bodies). Verify against the latest release before external use.</w:t>
      </w:r>
    </w:p>
    <w:p>
      <w:pPr>
        <w:pStyle w:val="Heading1"/>
        <w:pageBreakBefore/>
      </w:pPr>
      <w:r>
        <w:t>3. Who uses it: the 75 / 20 / 5 design</w:t>
      </w:r>
    </w:p>
    <w:p>
      <w:r>
        <w:rPr>
          <w:b w:val="0"/>
        </w:rPr>
        <w:t>The platform is organised around three groups. The percentages describe where design and engineering effort is directed. They are a deliberate bias toward the underprivileged majority, because that is where a free, honest tool changes the most outcomes per rupee.</w:t>
      </w:r>
    </w:p>
    <w:tbl>
      <w:tblPr>
        <w:tblW w:type="auto" w:w="0"/>
        <w:jc w:val="center"/>
        <w:tblLayout w:type="fixed"/>
        <w:tblLook w:firstColumn="1" w:firstRow="1" w:lastColumn="0" w:lastRow="0" w:noHBand="0" w:noVBand="1" w:val="04A0"/>
        <w:tblBorders>
          <w:top w:val="single" w:sz="4" w:color="D8D0BC"/>
          <w:left w:val="single" w:sz="4" w:color="D8D0BC"/>
          <w:bottom w:val="single" w:sz="4" w:color="D8D0BC"/>
          <w:right w:val="single" w:sz="4" w:color="D8D0BC"/>
          <w:insideH w:val="single" w:sz="4" w:color="D8D0BC"/>
          <w:insideV w:val="single" w:sz="4" w:color="D8D0BC"/>
        </w:tblBorders>
      </w:tblPr>
      <w:tblGrid>
        <w:gridCol w:w="1905"/>
        <w:gridCol w:w="1905"/>
        <w:gridCol w:w="1905"/>
        <w:gridCol w:w="1905"/>
        <w:gridCol w:w="1905"/>
      </w:tblGrid>
      <w:tr>
        <w:tc>
          <w:tcPr>
            <w:tcW w:type="dxa" w:w="1474"/>
            <w:shd w:val="clear" w:color="auto" w:fill="2A2C31"/>
          </w:tcPr>
          <w:p>
            <w:pPr>
              <w:spacing w:after="20"/>
            </w:pPr>
            <w:r>
              <w:rPr>
                <w:b/>
                <w:color w:val="FFFFFF"/>
                <w:sz w:val="16"/>
              </w:rPr>
              <w:t>Group</w:t>
            </w:r>
          </w:p>
        </w:tc>
        <w:tc>
          <w:tcPr>
            <w:tcW w:type="dxa" w:w="1814"/>
            <w:shd w:val="clear" w:color="auto" w:fill="2A2C31"/>
          </w:tcPr>
          <w:p>
            <w:pPr>
              <w:spacing w:after="20"/>
            </w:pPr>
            <w:r>
              <w:rPr>
                <w:b/>
                <w:color w:val="FFFFFF"/>
                <w:sz w:val="16"/>
              </w:rPr>
              <w:t>Who</w:t>
            </w:r>
          </w:p>
        </w:tc>
        <w:tc>
          <w:tcPr>
            <w:tcW w:type="dxa" w:w="2154"/>
            <w:shd w:val="clear" w:color="auto" w:fill="2A2C31"/>
          </w:tcPr>
          <w:p>
            <w:pPr>
              <w:spacing w:after="20"/>
            </w:pPr>
            <w:r>
              <w:rPr>
                <w:b/>
                <w:color w:val="FFFFFF"/>
                <w:sz w:val="16"/>
              </w:rPr>
              <w:t>Typical need</w:t>
            </w:r>
          </w:p>
        </w:tc>
        <w:tc>
          <w:tcPr>
            <w:tcW w:type="dxa" w:w="1928"/>
            <w:shd w:val="clear" w:color="auto" w:fill="2A2C31"/>
          </w:tcPr>
          <w:p>
            <w:pPr>
              <w:spacing w:after="20"/>
            </w:pPr>
            <w:r>
              <w:rPr>
                <w:b/>
                <w:color w:val="FFFFFF"/>
                <w:sz w:val="16"/>
              </w:rPr>
              <w:t>How they meet the platform</w:t>
            </w:r>
          </w:p>
        </w:tc>
        <w:tc>
          <w:tcPr>
            <w:tcW w:type="dxa" w:w="2041"/>
            <w:shd w:val="clear" w:color="auto" w:fill="2A2C31"/>
          </w:tcPr>
          <w:p>
            <w:pPr>
              <w:spacing w:after="20"/>
            </w:pPr>
            <w:r>
              <w:rPr>
                <w:b/>
                <w:color w:val="FFFFFF"/>
                <w:sz w:val="16"/>
              </w:rPr>
              <w:t>Main features</w:t>
            </w:r>
          </w:p>
        </w:tc>
      </w:tr>
      <w:tr>
        <w:tc>
          <w:tcPr>
            <w:tcW w:type="dxa" w:w="1474"/>
          </w:tcPr>
          <w:p>
            <w:pPr>
              <w:spacing w:after="20"/>
            </w:pPr>
            <w:r>
              <w:rPr>
                <w:b/>
                <w:sz w:val="16"/>
              </w:rPr>
              <w:t>75%</w:t>
            </w:r>
            <w:r>
              <w:rPr>
                <w:b w:val="0"/>
                <w:sz w:val="16"/>
              </w:rPr>
              <w:t xml:space="preserve"> Underprivileged and rural</w:t>
            </w:r>
          </w:p>
        </w:tc>
        <w:tc>
          <w:tcPr>
            <w:tcW w:type="dxa" w:w="1814"/>
          </w:tcPr>
          <w:p>
            <w:pPr>
              <w:spacing w:after="20"/>
            </w:pPr>
            <w:r>
              <w:rPr>
                <w:b w:val="0"/>
                <w:sz w:val="16"/>
              </w:rPr>
              <w:t>Farm and wage families, SHG women, pensioners, first-time borrowers, migrant workers</w:t>
            </w:r>
          </w:p>
        </w:tc>
        <w:tc>
          <w:tcPr>
            <w:tcW w:type="dxa" w:w="2154"/>
          </w:tcPr>
          <w:p>
            <w:pPr>
              <w:spacing w:after="20"/>
            </w:pPr>
            <w:r>
              <w:rPr>
                <w:b w:val="0"/>
                <w:sz w:val="16"/>
              </w:rPr>
              <w:t>Is this loan fair? Is this a scam? What am I owed? Why has my money not come?</w:t>
            </w:r>
          </w:p>
        </w:tc>
        <w:tc>
          <w:tcPr>
            <w:tcW w:type="dxa" w:w="1928"/>
          </w:tcPr>
          <w:p>
            <w:pPr>
              <w:spacing w:after="20"/>
            </w:pPr>
            <w:r>
              <w:rPr>
                <w:b w:val="0"/>
                <w:sz w:val="16"/>
              </w:rPr>
              <w:t>WhatsApp or SMS, Hindi voice, shared phone or CSC kiosk, offline</w:t>
            </w:r>
          </w:p>
        </w:tc>
        <w:tc>
          <w:tcPr>
            <w:tcW w:type="dxa" w:w="2041"/>
          </w:tcPr>
          <w:p>
            <w:pPr>
              <w:spacing w:after="20"/>
            </w:pPr>
            <w:r>
              <w:rPr>
                <w:b w:val="0"/>
                <w:sz w:val="16"/>
              </w:rPr>
              <w:t>Twelve rural tools, scam shield, WhatsApp menu, voice, offline pack</w:t>
            </w:r>
          </w:p>
        </w:tc>
      </w:tr>
      <w:tr>
        <w:tc>
          <w:tcPr>
            <w:tcW w:type="dxa" w:w="1474"/>
            <w:shd w:val="clear" w:color="auto" w:fill="FAF6EA"/>
          </w:tcPr>
          <w:p>
            <w:pPr>
              <w:spacing w:after="20"/>
            </w:pPr>
            <w:r>
              <w:rPr>
                <w:b/>
                <w:sz w:val="16"/>
              </w:rPr>
              <w:t>20%</w:t>
            </w:r>
            <w:r>
              <w:rPr>
                <w:b w:val="0"/>
                <w:sz w:val="16"/>
              </w:rPr>
              <w:t xml:space="preserve"> Retail and middle class</w:t>
            </w:r>
          </w:p>
        </w:tc>
        <w:tc>
          <w:tcPr>
            <w:tcW w:type="dxa" w:w="1814"/>
            <w:shd w:val="clear" w:color="auto" w:fill="FAF6EA"/>
          </w:tcPr>
          <w:p>
            <w:pPr>
              <w:spacing w:after="20"/>
            </w:pPr>
            <w:r>
              <w:rPr>
                <w:b w:val="0"/>
                <w:sz w:val="16"/>
              </w:rPr>
              <w:t>Salaried families, small investors, gig workers, students</w:t>
            </w:r>
          </w:p>
        </w:tc>
        <w:tc>
          <w:tcPr>
            <w:tcW w:type="dxa" w:w="2154"/>
            <w:shd w:val="clear" w:color="auto" w:fill="FAF6EA"/>
          </w:tcPr>
          <w:p>
            <w:pPr>
              <w:spacing w:after="20"/>
            </w:pPr>
            <w:r>
              <w:rPr>
                <w:b w:val="0"/>
                <w:sz w:val="16"/>
              </w:rPr>
              <w:t>Am I paying too much in fees? Is my money spread? Is this stock or fund sensible? What tax will I pay?</w:t>
            </w:r>
          </w:p>
        </w:tc>
        <w:tc>
          <w:tcPr>
            <w:tcW w:type="dxa" w:w="1928"/>
            <w:shd w:val="clear" w:color="auto" w:fill="FAF6EA"/>
          </w:tcPr>
          <w:p>
            <w:pPr>
              <w:spacing w:after="20"/>
            </w:pPr>
            <w:r>
              <w:rPr>
                <w:b w:val="0"/>
                <w:sz w:val="16"/>
              </w:rPr>
              <w:t>Web app on phone or laptop; assistant; research page</w:t>
            </w:r>
          </w:p>
        </w:tc>
        <w:tc>
          <w:tcPr>
            <w:tcW w:type="dxa" w:w="2041"/>
            <w:shd w:val="clear" w:color="auto" w:fill="FAF6EA"/>
          </w:tcPr>
          <w:p>
            <w:pPr>
              <w:spacing w:after="20"/>
            </w:pPr>
            <w:r>
              <w:rPr>
                <w:b w:val="0"/>
                <w:sz w:val="16"/>
              </w:rPr>
              <w:t>Portfolio X-ray, fee drag, overlap, tax shield, research desk, concept answers</w:t>
            </w:r>
          </w:p>
        </w:tc>
      </w:tr>
      <w:tr>
        <w:tc>
          <w:tcPr>
            <w:tcW w:type="dxa" w:w="1474"/>
          </w:tcPr>
          <w:p>
            <w:pPr>
              <w:spacing w:after="20"/>
            </w:pPr>
            <w:r>
              <w:rPr>
                <w:b/>
                <w:sz w:val="16"/>
              </w:rPr>
              <w:t>5%</w:t>
            </w:r>
            <w:r>
              <w:rPr>
                <w:b w:val="0"/>
                <w:sz w:val="16"/>
              </w:rPr>
              <w:t xml:space="preserve"> Affluent and advisers</w:t>
            </w:r>
          </w:p>
        </w:tc>
        <w:tc>
          <w:tcPr>
            <w:tcW w:type="dxa" w:w="1814"/>
          </w:tcPr>
          <w:p>
            <w:pPr>
              <w:spacing w:after="20"/>
            </w:pPr>
            <w:r>
              <w:rPr>
                <w:b w:val="0"/>
                <w:sz w:val="16"/>
              </w:rPr>
              <w:t>Active investors, family offices, small advisers</w:t>
            </w:r>
          </w:p>
        </w:tc>
        <w:tc>
          <w:tcPr>
            <w:tcW w:type="dxa" w:w="2154"/>
          </w:tcPr>
          <w:p>
            <w:pPr>
              <w:spacing w:after="20"/>
            </w:pPr>
            <w:r>
              <w:rPr>
                <w:b w:val="0"/>
                <w:sz w:val="16"/>
              </w:rPr>
              <w:t>Keep concentration within limits; prove what was decided and when; see where returns came from</w:t>
            </w:r>
          </w:p>
        </w:tc>
        <w:tc>
          <w:tcPr>
            <w:tcW w:type="dxa" w:w="1928"/>
          </w:tcPr>
          <w:p>
            <w:pPr>
              <w:spacing w:after="20"/>
            </w:pPr>
            <w:r>
              <w:rPr>
                <w:b w:val="0"/>
                <w:sz w:val="16"/>
              </w:rPr>
              <w:t>Govern page, reports, audit trail</w:t>
            </w:r>
          </w:p>
        </w:tc>
        <w:tc>
          <w:tcPr>
            <w:tcW w:type="dxa" w:w="2041"/>
          </w:tcPr>
          <w:p>
            <w:pPr>
              <w:spacing w:after="20"/>
            </w:pPr>
            <w:r>
              <w:rPr>
                <w:b w:val="0"/>
                <w:sz w:val="16"/>
              </w:rPr>
              <w:t>Risk firewall, audit chain, attribution, time machine, multiple portfolios</w:t>
            </w:r>
          </w:p>
        </w:tc>
      </w:tr>
    </w:tbl>
    <w:p>
      <w:pPr>
        <w:spacing w:after="40"/>
      </w:pPr>
    </w:p>
    <w:p>
      <w:pPr>
        <w:pStyle w:val="Heading2"/>
      </w:pPr>
      <w:r>
        <w:t>Three people, three journeys</w:t>
      </w:r>
    </w:p>
    <w:tbl>
      <w:tblPr>
        <w:tblW w:type="auto" w:w="0"/>
        <w:jc w:val="center"/>
        <w:tblLayout w:type="fixed"/>
        <w:tblLook w:firstColumn="1" w:firstRow="1" w:lastColumn="0" w:lastRow="0" w:noHBand="0" w:noVBand="1" w:val="04A0"/>
        <w:tblBorders>
          <w:top w:val="single" w:sz="4" w:color="D8D0BC"/>
          <w:left w:val="single" w:sz="4" w:color="D8D0BC"/>
          <w:bottom w:val="single" w:sz="4" w:color="D8D0BC"/>
          <w:right w:val="single" w:sz="4" w:color="D8D0BC"/>
          <w:insideH w:val="single" w:sz="4" w:color="D8D0BC"/>
          <w:insideV w:val="single" w:sz="4" w:color="D8D0BC"/>
        </w:tblBorders>
      </w:tblPr>
      <w:tblGrid>
        <w:gridCol w:w="2381"/>
        <w:gridCol w:w="2381"/>
        <w:gridCol w:w="2381"/>
        <w:gridCol w:w="2381"/>
      </w:tblGrid>
      <w:tr>
        <w:tc>
          <w:tcPr>
            <w:tcW w:type="dxa" w:w="1474"/>
            <w:shd w:val="clear" w:color="auto" w:fill="2A2C31"/>
          </w:tcPr>
          <w:p>
            <w:pPr>
              <w:spacing w:after="20"/>
            </w:pPr>
          </w:p>
        </w:tc>
        <w:tc>
          <w:tcPr>
            <w:tcW w:type="dxa" w:w="2665"/>
            <w:shd w:val="clear" w:color="auto" w:fill="2A2C31"/>
          </w:tcPr>
          <w:p>
            <w:pPr>
              <w:spacing w:after="20"/>
            </w:pPr>
            <w:r>
              <w:rPr>
                <w:b/>
                <w:color w:val="FFFFFF"/>
                <w:sz w:val="16"/>
              </w:rPr>
              <w:t>Sunita, 38 (rural, SHG member)</w:t>
            </w:r>
          </w:p>
        </w:tc>
        <w:tc>
          <w:tcPr>
            <w:tcW w:type="dxa" w:w="2665"/>
            <w:shd w:val="clear" w:color="auto" w:fill="2A2C31"/>
          </w:tcPr>
          <w:p>
            <w:pPr>
              <w:spacing w:after="20"/>
            </w:pPr>
            <w:r>
              <w:rPr>
                <w:b/>
                <w:color w:val="FFFFFF"/>
                <w:sz w:val="16"/>
              </w:rPr>
              <w:t>Rakesh, 29 (salaried, first investor)</w:t>
            </w:r>
          </w:p>
        </w:tc>
        <w:tc>
          <w:tcPr>
            <w:tcW w:type="dxa" w:w="2608"/>
            <w:shd w:val="clear" w:color="auto" w:fill="2A2C31"/>
          </w:tcPr>
          <w:p>
            <w:pPr>
              <w:spacing w:after="20"/>
            </w:pPr>
            <w:r>
              <w:rPr>
                <w:b/>
                <w:color w:val="FFFFFF"/>
                <w:sz w:val="16"/>
              </w:rPr>
              <w:t>Meera, 54 (affluent investor)</w:t>
            </w:r>
          </w:p>
        </w:tc>
      </w:tr>
      <w:tr>
        <w:tc>
          <w:tcPr>
            <w:tcW w:type="dxa" w:w="1474"/>
          </w:tcPr>
          <w:p>
            <w:pPr>
              <w:spacing w:after="20"/>
            </w:pPr>
            <w:r>
              <w:rPr>
                <w:b w:val="0"/>
                <w:sz w:val="16"/>
              </w:rPr>
              <w:t>Starting point</w:t>
            </w:r>
          </w:p>
        </w:tc>
        <w:tc>
          <w:tcPr>
            <w:tcW w:type="dxa" w:w="2665"/>
          </w:tcPr>
          <w:p>
            <w:pPr>
              <w:spacing w:after="20"/>
            </w:pPr>
            <w:r>
              <w:rPr>
                <w:b w:val="0"/>
                <w:sz w:val="16"/>
              </w:rPr>
              <w:t>Borrowed Rs 50,000 from a local lender at 5 rupees per hundred a month; has a basic smartphone with WhatsApp</w:t>
            </w:r>
          </w:p>
        </w:tc>
        <w:tc>
          <w:tcPr>
            <w:tcW w:type="dxa" w:w="2665"/>
          </w:tcPr>
          <w:p>
            <w:pPr>
              <w:spacing w:after="20"/>
            </w:pPr>
            <w:r>
              <w:rPr>
                <w:b w:val="0"/>
                <w:sz w:val="16"/>
              </w:rPr>
              <w:t>Saving Rs 8,000 a month; follows a Telegram group promising 20% returns</w:t>
            </w:r>
          </w:p>
        </w:tc>
        <w:tc>
          <w:tcPr>
            <w:tcW w:type="dxa" w:w="2608"/>
          </w:tcPr>
          <w:p>
            <w:pPr>
              <w:spacing w:after="20"/>
            </w:pPr>
            <w:r>
              <w:rPr>
                <w:b w:val="0"/>
                <w:sz w:val="16"/>
              </w:rPr>
              <w:t>Holds 14 stocks and four funds; wants discipline and a record for her adviser</w:t>
            </w:r>
          </w:p>
        </w:tc>
      </w:tr>
      <w:tr>
        <w:tc>
          <w:tcPr>
            <w:tcW w:type="dxa" w:w="1474"/>
            <w:shd w:val="clear" w:color="auto" w:fill="FAF6EA"/>
          </w:tcPr>
          <w:p>
            <w:pPr>
              <w:spacing w:after="20"/>
            </w:pPr>
            <w:r>
              <w:rPr>
                <w:b w:val="0"/>
                <w:sz w:val="16"/>
              </w:rPr>
              <w:t>What she or he does</w:t>
            </w:r>
          </w:p>
        </w:tc>
        <w:tc>
          <w:tcPr>
            <w:tcW w:type="dxa" w:w="2665"/>
            <w:shd w:val="clear" w:color="auto" w:fill="FAF6EA"/>
          </w:tcPr>
          <w:p>
            <w:pPr>
              <w:spacing w:after="20"/>
            </w:pPr>
            <w:r>
              <w:rPr>
                <w:b w:val="0"/>
                <w:sz w:val="16"/>
              </w:rPr>
              <w:t>Sends 'sahukar 5 rupaye sainkda' by voice note</w:t>
            </w:r>
          </w:p>
        </w:tc>
        <w:tc>
          <w:tcPr>
            <w:tcW w:type="dxa" w:w="2665"/>
            <w:shd w:val="clear" w:color="auto" w:fill="FAF6EA"/>
          </w:tcPr>
          <w:p>
            <w:pPr>
              <w:spacing w:after="20"/>
            </w:pPr>
            <w:r>
              <w:rPr>
                <w:b w:val="0"/>
                <w:sz w:val="16"/>
              </w:rPr>
              <w:t>Pastes the tip into the tip checker, then asks 'SIP or lump sum?'</w:t>
            </w:r>
          </w:p>
        </w:tc>
        <w:tc>
          <w:tcPr>
            <w:tcW w:type="dxa" w:w="2608"/>
            <w:shd w:val="clear" w:color="auto" w:fill="FAF6EA"/>
          </w:tcPr>
          <w:p>
            <w:pPr>
              <w:spacing w:after="20"/>
            </w:pPr>
            <w:r>
              <w:rPr>
                <w:b w:val="0"/>
                <w:sz w:val="16"/>
              </w:rPr>
              <w:t>Sets limits in Govern, checks a trade, reads attribution</w:t>
            </w:r>
          </w:p>
        </w:tc>
      </w:tr>
      <w:tr>
        <w:tc>
          <w:tcPr>
            <w:tcW w:type="dxa" w:w="1474"/>
          </w:tcPr>
          <w:p>
            <w:pPr>
              <w:spacing w:after="20"/>
            </w:pPr>
            <w:r>
              <w:rPr>
                <w:b w:val="0"/>
                <w:sz w:val="16"/>
              </w:rPr>
              <w:t>What the platform does</w:t>
            </w:r>
          </w:p>
        </w:tc>
        <w:tc>
          <w:tcPr>
            <w:tcW w:type="dxa" w:w="2665"/>
          </w:tcPr>
          <w:p>
            <w:pPr>
              <w:spacing w:after="20"/>
            </w:pPr>
            <w:r>
              <w:rPr>
                <w:b w:val="0"/>
                <w:sz w:val="16"/>
              </w:rPr>
              <w:t>Replies: 60% a year, Rs 30,000 interest; offers the schemes finder and papers checklist</w:t>
            </w:r>
          </w:p>
        </w:tc>
        <w:tc>
          <w:tcPr>
            <w:tcW w:type="dxa" w:w="2665"/>
          </w:tcPr>
          <w:p>
            <w:pPr>
              <w:spacing w:after="20"/>
            </w:pPr>
            <w:r>
              <w:rPr>
                <w:b w:val="0"/>
                <w:sz w:val="16"/>
              </w:rPr>
              <w:t>Flags guaranteed-return and urgency tactics; explains SIP vs lump sum with a table; opens fee drag</w:t>
            </w:r>
          </w:p>
        </w:tc>
        <w:tc>
          <w:tcPr>
            <w:tcW w:type="dxa" w:w="2608"/>
          </w:tcPr>
          <w:p>
            <w:pPr>
              <w:spacing w:after="20"/>
            </w:pPr>
            <w:r>
              <w:rPr>
                <w:b w:val="0"/>
                <w:sz w:val="16"/>
              </w:rPr>
              <w:t>Blocks a trade that breaches her 35% industry limit and writes it to the audit chain</w:t>
            </w:r>
          </w:p>
        </w:tc>
      </w:tr>
      <w:tr>
        <w:tc>
          <w:tcPr>
            <w:tcW w:type="dxa" w:w="1474"/>
            <w:shd w:val="clear" w:color="auto" w:fill="FAF6EA"/>
          </w:tcPr>
          <w:p>
            <w:pPr>
              <w:spacing w:after="20"/>
            </w:pPr>
            <w:r>
              <w:rPr>
                <w:b w:val="0"/>
                <w:sz w:val="16"/>
              </w:rPr>
              <w:t>Outcome</w:t>
            </w:r>
          </w:p>
        </w:tc>
        <w:tc>
          <w:tcPr>
            <w:tcW w:type="dxa" w:w="2665"/>
            <w:shd w:val="clear" w:color="auto" w:fill="FAF6EA"/>
          </w:tcPr>
          <w:p>
            <w:pPr>
              <w:spacing w:after="20"/>
            </w:pPr>
            <w:r>
              <w:rPr>
                <w:b w:val="0"/>
                <w:sz w:val="16"/>
              </w:rPr>
              <w:t>Knows the true cost; finds a scheme she qualified for; later keeps the group ledger</w:t>
            </w:r>
          </w:p>
        </w:tc>
        <w:tc>
          <w:tcPr>
            <w:tcW w:type="dxa" w:w="2665"/>
            <w:shd w:val="clear" w:color="auto" w:fill="FAF6EA"/>
          </w:tcPr>
          <w:p>
            <w:pPr>
              <w:spacing w:after="20"/>
            </w:pPr>
            <w:r>
              <w:rPr>
                <w:b w:val="0"/>
                <w:sz w:val="16"/>
              </w:rPr>
              <w:t>Avoids the group; starts an index-fund SIP</w:t>
            </w:r>
          </w:p>
        </w:tc>
        <w:tc>
          <w:tcPr>
            <w:tcW w:type="dxa" w:w="2608"/>
            <w:shd w:val="clear" w:color="auto" w:fill="FAF6EA"/>
          </w:tcPr>
          <w:p>
            <w:pPr>
              <w:spacing w:after="20"/>
            </w:pPr>
            <w:r>
              <w:rPr>
                <w:b w:val="0"/>
                <w:sz w:val="16"/>
              </w:rPr>
              <w:t>Decisions she can defend and prove</w:t>
            </w:r>
          </w:p>
        </w:tc>
      </w:tr>
    </w:tbl>
    <w:p>
      <w:pPr>
        <w:spacing w:after="40"/>
      </w:pPr>
    </w:p>
    <w:p>
      <w:pPr>
        <w:pStyle w:val="Heading1"/>
        <w:pageBreakBefore/>
      </w:pPr>
      <w:r>
        <w:t>4. How the platform works</w:t>
      </w:r>
    </w:p>
    <w:p>
      <w:r>
        <w:rPr>
          <w:b w:val="0"/>
        </w:rPr>
        <w:t>A person asks. The platform reads the whole sentence, decides what kind of request it is, runs the right tool or opens the right checked explanation, and shows the result as a structured card. The figure below follows one question from start to finish.</w:t>
      </w:r>
    </w:p>
    <w:p>
      <w:pPr>
        <w:keepNext/>
        <w:spacing w:after="40"/>
        <w:jc w:val="center"/>
      </w:pPr>
      <w:r>
        <w:drawing>
          <wp:inline xmlns:a="http://schemas.openxmlformats.org/drawingml/2006/main" xmlns:pic="http://schemas.openxmlformats.org/drawingml/2006/picture">
            <wp:extent cx="5832000" cy="3140308"/>
            <wp:docPr id="3" name="Picture 3"/>
            <wp:cNvGraphicFramePr>
              <a:graphicFrameLocks noChangeAspect="1"/>
            </wp:cNvGraphicFramePr>
            <a:graphic>
              <a:graphicData uri="http://schemas.openxmlformats.org/drawingml/2006/picture">
                <pic:pic>
                  <pic:nvPicPr>
                    <pic:cNvPr id="0" name="journey.png"/>
                    <pic:cNvPicPr/>
                  </pic:nvPicPr>
                  <pic:blipFill>
                    <a:blip r:embed="rId12"/>
                    <a:stretch>
                      <a:fillRect/>
                    </a:stretch>
                  </pic:blipFill>
                  <pic:spPr>
                    <a:xfrm>
                      <a:off x="0" y="0"/>
                      <a:ext cx="5832000" cy="3140308"/>
                    </a:xfrm>
                    <a:prstGeom prst="rect"/>
                  </pic:spPr>
                </pic:pic>
              </a:graphicData>
            </a:graphic>
          </wp:inline>
        </w:drawing>
      </w:r>
    </w:p>
    <w:p>
      <w:pPr>
        <w:spacing w:after="160"/>
        <w:jc w:val="center"/>
      </w:pPr>
      <w:r>
        <w:rPr>
          <w:b w:val="0"/>
          <w:i/>
          <w:color w:val="6B675C"/>
          <w:sz w:val="17"/>
        </w:rPr>
        <w:t>Figure 3. The journey of a question. The same path serves the web app, the voice orb and the WhatsApp/SMS channel.</w:t>
      </w:r>
    </w:p>
    <w:p>
      <w:pPr>
        <w:pStyle w:val="Heading2"/>
      </w:pPr>
      <w:r>
        <w:t>The five kinds of request</w:t>
      </w:r>
    </w:p>
    <w:tbl>
      <w:tblPr>
        <w:tblW w:type="auto" w:w="0"/>
        <w:jc w:val="center"/>
        <w:tblLayout w:type="fixed"/>
        <w:tblLook w:firstColumn="1" w:firstRow="1" w:lastColumn="0" w:lastRow="0" w:noHBand="0" w:noVBand="1" w:val="04A0"/>
        <w:tblBorders>
          <w:top w:val="single" w:sz="4" w:color="D8D0BC"/>
          <w:left w:val="single" w:sz="4" w:color="D8D0BC"/>
          <w:bottom w:val="single" w:sz="4" w:color="D8D0BC"/>
          <w:right w:val="single" w:sz="4" w:color="D8D0BC"/>
          <w:insideH w:val="single" w:sz="4" w:color="D8D0BC"/>
          <w:insideV w:val="single" w:sz="4" w:color="D8D0BC"/>
        </w:tblBorders>
      </w:tblPr>
      <w:tblGrid>
        <w:gridCol w:w="3175"/>
        <w:gridCol w:w="3175"/>
        <w:gridCol w:w="3175"/>
      </w:tblGrid>
      <w:tr>
        <w:tc>
          <w:tcPr>
            <w:tcW w:type="dxa" w:w="1701"/>
            <w:shd w:val="clear" w:color="auto" w:fill="2A2C31"/>
          </w:tcPr>
          <w:p>
            <w:pPr>
              <w:spacing w:after="20"/>
            </w:pPr>
            <w:r>
              <w:rPr>
                <w:b/>
                <w:color w:val="FFFFFF"/>
                <w:sz w:val="17"/>
              </w:rPr>
              <w:t>Kind</w:t>
            </w:r>
          </w:p>
        </w:tc>
        <w:tc>
          <w:tcPr>
            <w:tcW w:type="dxa" w:w="3061"/>
            <w:shd w:val="clear" w:color="auto" w:fill="2A2C31"/>
          </w:tcPr>
          <w:p>
            <w:pPr>
              <w:spacing w:after="20"/>
            </w:pPr>
            <w:r>
              <w:rPr>
                <w:b/>
                <w:color w:val="FFFFFF"/>
                <w:sz w:val="17"/>
              </w:rPr>
              <w:t>Example</w:t>
            </w:r>
          </w:p>
        </w:tc>
        <w:tc>
          <w:tcPr>
            <w:tcW w:type="dxa" w:w="4649"/>
            <w:shd w:val="clear" w:color="auto" w:fill="2A2C31"/>
          </w:tcPr>
          <w:p>
            <w:pPr>
              <w:spacing w:after="20"/>
            </w:pPr>
            <w:r>
              <w:rPr>
                <w:b/>
                <w:color w:val="FFFFFF"/>
                <w:sz w:val="17"/>
              </w:rPr>
              <w:t>What happens</w:t>
            </w:r>
          </w:p>
        </w:tc>
      </w:tr>
      <w:tr>
        <w:tc>
          <w:tcPr>
            <w:tcW w:type="dxa" w:w="1701"/>
          </w:tcPr>
          <w:p>
            <w:pPr>
              <w:spacing w:after="20"/>
            </w:pPr>
            <w:r>
              <w:rPr>
                <w:b w:val="0"/>
                <w:sz w:val="17"/>
              </w:rPr>
              <w:t>About the app</w:t>
            </w:r>
          </w:p>
        </w:tc>
        <w:tc>
          <w:tcPr>
            <w:tcW w:type="dxa" w:w="3061"/>
          </w:tcPr>
          <w:p>
            <w:pPr>
              <w:spacing w:after="20"/>
            </w:pPr>
            <w:r>
              <w:rPr>
                <w:b w:val="0"/>
                <w:sz w:val="17"/>
              </w:rPr>
              <w:t>'How do I use the fee slider?'</w:t>
            </w:r>
          </w:p>
        </w:tc>
        <w:tc>
          <w:tcPr>
            <w:tcW w:type="dxa" w:w="4649"/>
          </w:tcPr>
          <w:p>
            <w:pPr>
              <w:spacing w:after="20"/>
            </w:pPr>
            <w:r>
              <w:rPr>
                <w:b w:val="0"/>
                <w:sz w:val="17"/>
              </w:rPr>
              <w:t>A structured answer plus a guided tour: the page opens, each part lights up, the caption is read aloud</w:t>
            </w:r>
          </w:p>
        </w:tc>
      </w:tr>
      <w:tr>
        <w:tc>
          <w:tcPr>
            <w:tcW w:type="dxa" w:w="1701"/>
            <w:shd w:val="clear" w:color="auto" w:fill="FAF6EA"/>
          </w:tcPr>
          <w:p>
            <w:pPr>
              <w:spacing w:after="20"/>
            </w:pPr>
            <w:r>
              <w:rPr>
                <w:b w:val="0"/>
                <w:sz w:val="17"/>
              </w:rPr>
              <w:t>A company</w:t>
            </w:r>
          </w:p>
        </w:tc>
        <w:tc>
          <w:tcPr>
            <w:tcW w:type="dxa" w:w="3061"/>
            <w:shd w:val="clear" w:color="auto" w:fill="FAF6EA"/>
          </w:tcPr>
          <w:p>
            <w:pPr>
              <w:spacing w:after="20"/>
            </w:pPr>
            <w:r>
              <w:rPr>
                <w:b w:val="0"/>
                <w:sz w:val="17"/>
              </w:rPr>
              <w:t>'Analyse TCS', 'compare Reliance and HDFC Bank'</w:t>
            </w:r>
          </w:p>
        </w:tc>
        <w:tc>
          <w:tcPr>
            <w:tcW w:type="dxa" w:w="4649"/>
            <w:shd w:val="clear" w:color="auto" w:fill="FAF6EA"/>
          </w:tcPr>
          <w:p>
            <w:pPr>
              <w:spacing w:after="20"/>
            </w:pPr>
            <w:r>
              <w:rPr>
                <w:b w:val="0"/>
                <w:sz w:val="17"/>
              </w:rPr>
              <w:t>Facts, good points and watch-outs with confidence marks, peer ranks and a live or saved chart</w:t>
            </w:r>
          </w:p>
        </w:tc>
      </w:tr>
      <w:tr>
        <w:tc>
          <w:tcPr>
            <w:tcW w:type="dxa" w:w="1701"/>
          </w:tcPr>
          <w:p>
            <w:pPr>
              <w:spacing w:after="20"/>
            </w:pPr>
            <w:r>
              <w:rPr>
                <w:b w:val="0"/>
                <w:sz w:val="17"/>
              </w:rPr>
              <w:t>General money</w:t>
            </w:r>
          </w:p>
        </w:tc>
        <w:tc>
          <w:tcPr>
            <w:tcW w:type="dxa" w:w="3061"/>
          </w:tcPr>
          <w:p>
            <w:pPr>
              <w:spacing w:after="20"/>
            </w:pPr>
            <w:r>
              <w:rPr>
                <w:b w:val="0"/>
                <w:sz w:val="17"/>
              </w:rPr>
              <w:t>'SIP or lump sum?', 'How are mutual funds taxed?'</w:t>
            </w:r>
          </w:p>
        </w:tc>
        <w:tc>
          <w:tcPr>
            <w:tcW w:type="dxa" w:w="4649"/>
          </w:tcPr>
          <w:p>
            <w:pPr>
              <w:spacing w:after="20"/>
            </w:pPr>
            <w:r>
              <w:rPr>
                <w:b w:val="0"/>
                <w:sz w:val="17"/>
              </w:rPr>
              <w:t>A checked, hand-written explanation in English or Hindi, with a table and a next step</w:t>
            </w:r>
          </w:p>
        </w:tc>
      </w:tr>
      <w:tr>
        <w:tc>
          <w:tcPr>
            <w:tcW w:type="dxa" w:w="1701"/>
            <w:shd w:val="clear" w:color="auto" w:fill="FAF6EA"/>
          </w:tcPr>
          <w:p>
            <w:pPr>
              <w:spacing w:after="20"/>
            </w:pPr>
            <w:r>
              <w:rPr>
                <w:b w:val="0"/>
                <w:sz w:val="17"/>
              </w:rPr>
              <w:t>Your numbers</w:t>
            </w:r>
          </w:p>
        </w:tc>
        <w:tc>
          <w:tcPr>
            <w:tcW w:type="dxa" w:w="3061"/>
            <w:shd w:val="clear" w:color="auto" w:fill="FAF6EA"/>
          </w:tcPr>
          <w:p>
            <w:pPr>
              <w:spacing w:after="20"/>
            </w:pPr>
            <w:r>
              <w:rPr>
                <w:b w:val="0"/>
                <w:sz w:val="17"/>
              </w:rPr>
              <w:t>'What does a 2% fee cost over 20 years?'</w:t>
            </w:r>
          </w:p>
        </w:tc>
        <w:tc>
          <w:tcPr>
            <w:tcW w:type="dxa" w:w="4649"/>
            <w:shd w:val="clear" w:color="auto" w:fill="FAF6EA"/>
          </w:tcPr>
          <w:p>
            <w:pPr>
              <w:spacing w:after="20"/>
            </w:pPr>
            <w:r>
              <w:rPr>
                <w:b w:val="0"/>
                <w:sz w:val="17"/>
              </w:rPr>
              <w:t>A deterministic calculator; the card shows the result and the working</w:t>
            </w:r>
          </w:p>
        </w:tc>
      </w:tr>
      <w:tr>
        <w:tc>
          <w:tcPr>
            <w:tcW w:type="dxa" w:w="1701"/>
          </w:tcPr>
          <w:p>
            <w:pPr>
              <w:spacing w:after="20"/>
            </w:pPr>
            <w:r>
              <w:rPr>
                <w:b w:val="0"/>
                <w:sz w:val="17"/>
              </w:rPr>
              <w:t>Scam or rural money</w:t>
            </w:r>
          </w:p>
        </w:tc>
        <w:tc>
          <w:tcPr>
            <w:tcW w:type="dxa" w:w="3061"/>
          </w:tcPr>
          <w:p>
            <w:pPr>
              <w:spacing w:after="20"/>
            </w:pPr>
            <w:r>
              <w:rPr>
                <w:b w:val="0"/>
                <w:sz w:val="17"/>
              </w:rPr>
              <w:t>'Someone from the bank asked for my OTP'</w:t>
            </w:r>
          </w:p>
        </w:tc>
        <w:tc>
          <w:tcPr>
            <w:tcW w:type="dxa" w:w="4649"/>
          </w:tcPr>
          <w:p>
            <w:pPr>
              <w:spacing w:after="20"/>
            </w:pPr>
            <w:r>
              <w:rPr>
                <w:b w:val="0"/>
                <w:sz w:val="17"/>
              </w:rPr>
              <w:t>The script that matches what was described, or the rural tool with its inputs</w:t>
            </w:r>
          </w:p>
        </w:tc>
      </w:tr>
    </w:tbl>
    <w:p>
      <w:pPr>
        <w:spacing w:after="40"/>
      </w:pPr>
    </w:p>
    <w:p>
      <w:pPr>
        <w:pStyle w:val="Heading2"/>
      </w:pPr>
      <w:r>
        <w:t>Why the answers can be trusted</w:t>
      </w:r>
    </w:p>
    <w:p>
      <w:pPr>
        <w:keepNext/>
        <w:spacing w:after="40"/>
        <w:jc w:val="center"/>
      </w:pPr>
      <w:r>
        <w:drawing>
          <wp:inline xmlns:a="http://schemas.openxmlformats.org/drawingml/2006/main" xmlns:pic="http://schemas.openxmlformats.org/drawingml/2006/picture">
            <wp:extent cx="5580000" cy="2283400"/>
            <wp:docPr id="4" name="Picture 4"/>
            <wp:cNvGraphicFramePr>
              <a:graphicFrameLocks noChangeAspect="1"/>
            </wp:cNvGraphicFramePr>
            <a:graphic>
              <a:graphicData uri="http://schemas.openxmlformats.org/drawingml/2006/picture">
                <pic:pic>
                  <pic:nvPicPr>
                    <pic:cNvPr id="0" name="trust.png"/>
                    <pic:cNvPicPr/>
                  </pic:nvPicPr>
                  <pic:blipFill>
                    <a:blip r:embed="rId13"/>
                    <a:stretch>
                      <a:fillRect/>
                    </a:stretch>
                  </pic:blipFill>
                  <pic:spPr>
                    <a:xfrm>
                      <a:off x="0" y="0"/>
                      <a:ext cx="5580000" cy="2283400"/>
                    </a:xfrm>
                    <a:prstGeom prst="rect"/>
                  </pic:spPr>
                </pic:pic>
              </a:graphicData>
            </a:graphic>
          </wp:inline>
        </w:drawing>
      </w:r>
    </w:p>
    <w:p>
      <w:pPr>
        <w:spacing w:after="160"/>
        <w:jc w:val="center"/>
      </w:pPr>
      <w:r>
        <w:rPr>
          <w:b w:val="0"/>
          <w:i/>
          <w:color w:val="6B675C"/>
          <w:sz w:val="17"/>
        </w:rPr>
        <w:t>Figure 4. The trust pipeline. A language model never sits between the data and the number.</w:t>
      </w:r>
    </w:p>
    <w:p>
      <w:pPr>
        <w:pStyle w:val="ListBullet"/>
        <w:spacing w:after="40"/>
      </w:pPr>
      <w:r>
        <w:rPr>
          <w:b/>
        </w:rPr>
        <w:t>Deterministic numbers.</w:t>
      </w:r>
      <w:r>
        <w:rPr>
          <w:b w:val="0"/>
        </w:rPr>
        <w:t xml:space="preserve"> Interest, fees, goals, tax and ratios are computed in code that is unit-tested (520 tests).</w:t>
      </w:r>
    </w:p>
    <w:p>
      <w:pPr>
        <w:pStyle w:val="ListBullet"/>
        <w:spacing w:after="40"/>
      </w:pPr>
      <w:r>
        <w:rPr>
          <w:b/>
        </w:rPr>
        <w:t>Dated data.</w:t>
      </w:r>
      <w:r>
        <w:rPr>
          <w:b w:val="0"/>
        </w:rPr>
        <w:t xml:space="preserve"> Every price and statement carries the date it was fetched; the Research page shows how old each kind of data is and how many checks had data at all.</w:t>
      </w:r>
    </w:p>
    <w:p>
      <w:pPr>
        <w:pStyle w:val="ListBullet"/>
        <w:spacing w:after="40"/>
      </w:pPr>
      <w:r>
        <w:rPr>
          <w:b/>
        </w:rPr>
        <w:t>Confidence on every point.</w:t>
      </w:r>
      <w:r>
        <w:rPr>
          <w:b w:val="0"/>
        </w:rPr>
        <w:t xml:space="preserve"> Each good point or watch-out is marked solid, light or weak depending on how many independent kinds of data it rests on, its sample size and its age.</w:t>
      </w:r>
    </w:p>
    <w:p>
      <w:pPr>
        <w:pStyle w:val="ListBullet"/>
        <w:spacing w:after="40"/>
      </w:pPr>
      <w:r>
        <w:rPr>
          <w:b/>
        </w:rPr>
        <w:t>Honest gaps.</w:t>
      </w:r>
      <w:r>
        <w:rPr>
          <w:b w:val="0"/>
        </w:rPr>
        <w:t xml:space="preserve"> Missing data appears under 'what we could not check' (for example promoter share pledging), never guessed.</w:t>
      </w:r>
    </w:p>
    <w:p>
      <w:pPr>
        <w:pStyle w:val="ListBullet"/>
        <w:spacing w:after="40"/>
      </w:pPr>
      <w:r>
        <w:rPr>
          <w:b/>
        </w:rPr>
        <w:t>No advice.</w:t>
      </w:r>
      <w:r>
        <w:rPr>
          <w:b w:val="0"/>
        </w:rPr>
        <w:t xml:space="preserve"> The platform describes; it does not say buy, sell or hold.</w:t>
      </w:r>
    </w:p>
    <w:p>
      <w:pPr>
        <w:keepNext/>
        <w:spacing w:after="40"/>
        <w:jc w:val="center"/>
      </w:pPr>
      <w:r>
        <w:drawing>
          <wp:inline xmlns:a="http://schemas.openxmlformats.org/drawingml/2006/main" xmlns:pic="http://schemas.openxmlformats.org/drawingml/2006/picture">
            <wp:extent cx="5220000" cy="2614515"/>
            <wp:docPr id="5" name="Picture 5"/>
            <wp:cNvGraphicFramePr>
              <a:graphicFrameLocks noChangeAspect="1"/>
            </wp:cNvGraphicFramePr>
            <a:graphic>
              <a:graphicData uri="http://schemas.openxmlformats.org/drawingml/2006/picture">
                <pic:pic>
                  <pic:nvPicPr>
                    <pic:cNvPr id="0" name="whatsapp.png"/>
                    <pic:cNvPicPr/>
                  </pic:nvPicPr>
                  <pic:blipFill>
                    <a:blip r:embed="rId14"/>
                    <a:stretch>
                      <a:fillRect/>
                    </a:stretch>
                  </pic:blipFill>
                  <pic:spPr>
                    <a:xfrm>
                      <a:off x="0" y="0"/>
                      <a:ext cx="5220000" cy="2614515"/>
                    </a:xfrm>
                    <a:prstGeom prst="rect"/>
                  </pic:spPr>
                </pic:pic>
              </a:graphicData>
            </a:graphic>
          </wp:inline>
        </w:drawing>
      </w:r>
    </w:p>
    <w:p>
      <w:pPr>
        <w:spacing w:after="160"/>
        <w:jc w:val="center"/>
      </w:pPr>
      <w:r>
        <w:rPr>
          <w:b w:val="0"/>
          <w:i/>
          <w:color w:val="6B675C"/>
          <w:sz w:val="17"/>
        </w:rPr>
        <w:t>Figure 5. The same tool over WhatsApp. A person sends a sentence or a voice note and gets the same answer as the web app.</w:t>
      </w:r>
    </w:p>
    <w:p>
      <w:pPr>
        <w:pStyle w:val="Heading1"/>
        <w:pageBreakBefore/>
      </w:pPr>
      <w:r>
        <w:t>5. Features for the underprivileged majority</w:t>
      </w:r>
    </w:p>
    <w:p>
      <w:r>
        <w:rPr>
          <w:b w:val="0"/>
        </w:rPr>
        <w:t>This is the heart of the platform. Every feature here is designed for a person with limited time, limited data, limited English and no adviser. All of it runs offline or on a basic connection and is available in Hindi.</w:t>
      </w:r>
    </w:p>
    <w:p>
      <w:pPr>
        <w:pStyle w:val="Heading2"/>
      </w:pPr>
      <w:r>
        <w:t>Rural money tools (twelve)</w:t>
      </w:r>
    </w:p>
    <w:tbl>
      <w:tblPr>
        <w:tblW w:type="auto" w:w="0"/>
        <w:jc w:val="center"/>
        <w:tblLayout w:type="fixed"/>
        <w:tblLook w:firstColumn="1" w:firstRow="1" w:lastColumn="0" w:lastRow="0" w:noHBand="0" w:noVBand="1" w:val="04A0"/>
        <w:tblBorders>
          <w:top w:val="single" w:sz="4" w:color="D8D0BC"/>
          <w:left w:val="single" w:sz="4" w:color="D8D0BC"/>
          <w:bottom w:val="single" w:sz="4" w:color="D8D0BC"/>
          <w:right w:val="single" w:sz="4" w:color="D8D0BC"/>
          <w:insideH w:val="single" w:sz="4" w:color="D8D0BC"/>
          <w:insideV w:val="single" w:sz="4" w:color="D8D0BC"/>
        </w:tblBorders>
      </w:tblPr>
      <w:tblGrid>
        <w:gridCol w:w="2381"/>
        <w:gridCol w:w="2381"/>
        <w:gridCol w:w="2381"/>
        <w:gridCol w:w="2381"/>
      </w:tblGrid>
      <w:tr>
        <w:tc>
          <w:tcPr>
            <w:tcW w:type="dxa" w:w="1814"/>
            <w:shd w:val="clear" w:color="auto" w:fill="2A2C31"/>
          </w:tcPr>
          <w:p>
            <w:pPr>
              <w:spacing w:after="20"/>
            </w:pPr>
            <w:r>
              <w:rPr>
                <w:b/>
                <w:color w:val="FFFFFF"/>
                <w:sz w:val="16"/>
              </w:rPr>
              <w:t>Tool</w:t>
            </w:r>
          </w:p>
        </w:tc>
        <w:tc>
          <w:tcPr>
            <w:tcW w:type="dxa" w:w="2494"/>
            <w:shd w:val="clear" w:color="auto" w:fill="2A2C31"/>
          </w:tcPr>
          <w:p>
            <w:pPr>
              <w:spacing w:after="20"/>
            </w:pPr>
            <w:r>
              <w:rPr>
                <w:b/>
                <w:color w:val="FFFFFF"/>
                <w:sz w:val="16"/>
              </w:rPr>
              <w:t>Use case</w:t>
            </w:r>
          </w:p>
        </w:tc>
        <w:tc>
          <w:tcPr>
            <w:tcW w:type="dxa" w:w="2948"/>
            <w:shd w:val="clear" w:color="auto" w:fill="2A2C31"/>
          </w:tcPr>
          <w:p>
            <w:pPr>
              <w:spacing w:after="20"/>
            </w:pPr>
            <w:r>
              <w:rPr>
                <w:b/>
                <w:color w:val="FFFFFF"/>
                <w:sz w:val="16"/>
              </w:rPr>
              <w:t>What it gives</w:t>
            </w:r>
          </w:p>
        </w:tc>
        <w:tc>
          <w:tcPr>
            <w:tcW w:type="dxa" w:w="2154"/>
            <w:shd w:val="clear" w:color="auto" w:fill="2A2C31"/>
          </w:tcPr>
          <w:p>
            <w:pPr>
              <w:spacing w:after="20"/>
            </w:pPr>
            <w:r>
              <w:rPr>
                <w:b/>
                <w:color w:val="FFFFFF"/>
                <w:sz w:val="16"/>
              </w:rPr>
              <w:t>Who it helps</w:t>
            </w:r>
          </w:p>
        </w:tc>
      </w:tr>
      <w:tr>
        <w:tc>
          <w:tcPr>
            <w:tcW w:type="dxa" w:w="1814"/>
          </w:tcPr>
          <w:p>
            <w:pPr>
              <w:spacing w:after="20"/>
            </w:pPr>
            <w:r>
              <w:rPr>
                <w:b w:val="0"/>
                <w:sz w:val="16"/>
              </w:rPr>
              <w:t>Moneylender check</w:t>
            </w:r>
          </w:p>
        </w:tc>
        <w:tc>
          <w:tcPr>
            <w:tcW w:type="dxa" w:w="2494"/>
          </w:tcPr>
          <w:p>
            <w:pPr>
              <w:spacing w:after="20"/>
            </w:pPr>
            <w:r>
              <w:rPr>
                <w:b w:val="0"/>
                <w:sz w:val="16"/>
              </w:rPr>
              <w:t>A local lender charges '5 rupees per hundred'</w:t>
            </w:r>
          </w:p>
        </w:tc>
        <w:tc>
          <w:tcPr>
            <w:tcW w:type="dxa" w:w="2948"/>
          </w:tcPr>
          <w:p>
            <w:pPr>
              <w:spacing w:after="20"/>
            </w:pPr>
            <w:r>
              <w:rPr>
                <w:b w:val="0"/>
                <w:sz w:val="16"/>
              </w:rPr>
              <w:t>True yearly rate, rupees paid, comparison with a bank loan</w:t>
            </w:r>
          </w:p>
        </w:tc>
        <w:tc>
          <w:tcPr>
            <w:tcW w:type="dxa" w:w="2154"/>
          </w:tcPr>
          <w:p>
            <w:pPr>
              <w:spacing w:after="20"/>
            </w:pPr>
            <w:r>
              <w:rPr>
                <w:b w:val="0"/>
                <w:sz w:val="16"/>
              </w:rPr>
              <w:t>Borrowers in debt traps</w:t>
            </w:r>
          </w:p>
        </w:tc>
      </w:tr>
      <w:tr>
        <w:tc>
          <w:tcPr>
            <w:tcW w:type="dxa" w:w="1814"/>
            <w:shd w:val="clear" w:color="auto" w:fill="FAF6EA"/>
          </w:tcPr>
          <w:p>
            <w:pPr>
              <w:spacing w:after="20"/>
            </w:pPr>
            <w:r>
              <w:rPr>
                <w:b w:val="0"/>
                <w:sz w:val="16"/>
              </w:rPr>
              <w:t>Credit score guide</w:t>
            </w:r>
          </w:p>
        </w:tc>
        <w:tc>
          <w:tcPr>
            <w:tcW w:type="dxa" w:w="2494"/>
            <w:shd w:val="clear" w:color="auto" w:fill="FAF6EA"/>
          </w:tcPr>
          <w:p>
            <w:pPr>
              <w:spacing w:after="20"/>
            </w:pPr>
            <w:r>
              <w:rPr>
                <w:b w:val="0"/>
                <w:sz w:val="16"/>
              </w:rPr>
              <w:t>Loan rejected, or no credit history</w:t>
            </w:r>
          </w:p>
        </w:tc>
        <w:tc>
          <w:tcPr>
            <w:tcW w:type="dxa" w:w="2948"/>
            <w:shd w:val="clear" w:color="auto" w:fill="FAF6EA"/>
          </w:tcPr>
          <w:p>
            <w:pPr>
              <w:spacing w:after="20"/>
            </w:pPr>
            <w:r>
              <w:rPr>
                <w:b w:val="0"/>
                <w:sz w:val="16"/>
              </w:rPr>
              <w:t>What a score is, why a loan fails, how to build one</w:t>
            </w:r>
          </w:p>
        </w:tc>
        <w:tc>
          <w:tcPr>
            <w:tcW w:type="dxa" w:w="2154"/>
            <w:shd w:val="clear" w:color="auto" w:fill="FAF6EA"/>
          </w:tcPr>
          <w:p>
            <w:pPr>
              <w:spacing w:after="20"/>
            </w:pPr>
            <w:r>
              <w:rPr>
                <w:b w:val="0"/>
                <w:sz w:val="16"/>
              </w:rPr>
              <w:t>First-time borrowers</w:t>
            </w:r>
          </w:p>
        </w:tc>
      </w:tr>
      <w:tr>
        <w:tc>
          <w:tcPr>
            <w:tcW w:type="dxa" w:w="1814"/>
          </w:tcPr>
          <w:p>
            <w:pPr>
              <w:spacing w:after="20"/>
            </w:pPr>
            <w:r>
              <w:rPr>
                <w:b w:val="0"/>
                <w:sz w:val="16"/>
              </w:rPr>
              <w:t>Is this offer real?</w:t>
            </w:r>
          </w:p>
        </w:tc>
        <w:tc>
          <w:tcPr>
            <w:tcW w:type="dxa" w:w="2494"/>
          </w:tcPr>
          <w:p>
            <w:pPr>
              <w:spacing w:after="20"/>
            </w:pPr>
            <w:r>
              <w:rPr>
                <w:b w:val="0"/>
                <w:sz w:val="16"/>
              </w:rPr>
              <w:t>Double-your-money, chit fund, pay-and-earn</w:t>
            </w:r>
          </w:p>
        </w:tc>
        <w:tc>
          <w:tcPr>
            <w:tcW w:type="dxa" w:w="2948"/>
          </w:tcPr>
          <w:p>
            <w:pPr>
              <w:spacing w:after="20"/>
            </w:pPr>
            <w:r>
              <w:rPr>
                <w:b w:val="0"/>
                <w:sz w:val="16"/>
              </w:rPr>
              <w:t>Red-flag check with reasons</w:t>
            </w:r>
          </w:p>
        </w:tc>
        <w:tc>
          <w:tcPr>
            <w:tcW w:type="dxa" w:w="2154"/>
          </w:tcPr>
          <w:p>
            <w:pPr>
              <w:spacing w:after="20"/>
            </w:pPr>
            <w:r>
              <w:rPr>
                <w:b w:val="0"/>
                <w:sz w:val="16"/>
              </w:rPr>
              <w:t>Anyone approached by an agent</w:t>
            </w:r>
          </w:p>
        </w:tc>
      </w:tr>
      <w:tr>
        <w:tc>
          <w:tcPr>
            <w:tcW w:type="dxa" w:w="1814"/>
            <w:shd w:val="clear" w:color="auto" w:fill="FAF6EA"/>
          </w:tcPr>
          <w:p>
            <w:pPr>
              <w:spacing w:after="20"/>
            </w:pPr>
            <w:r>
              <w:rPr>
                <w:b w:val="0"/>
                <w:sz w:val="16"/>
              </w:rPr>
              <w:t>UPI safety</w:t>
            </w:r>
          </w:p>
        </w:tc>
        <w:tc>
          <w:tcPr>
            <w:tcW w:type="dxa" w:w="2494"/>
            <w:shd w:val="clear" w:color="auto" w:fill="FAF6EA"/>
          </w:tcPr>
          <w:p>
            <w:pPr>
              <w:spacing w:after="20"/>
            </w:pPr>
            <w:r>
              <w:rPr>
                <w:b w:val="0"/>
                <w:sz w:val="16"/>
              </w:rPr>
              <w:t>Collect request, QR to 'receive' money, refund call</w:t>
            </w:r>
          </w:p>
        </w:tc>
        <w:tc>
          <w:tcPr>
            <w:tcW w:type="dxa" w:w="2948"/>
            <w:shd w:val="clear" w:color="auto" w:fill="FAF6EA"/>
          </w:tcPr>
          <w:p>
            <w:pPr>
              <w:spacing w:after="20"/>
            </w:pPr>
            <w:r>
              <w:rPr>
                <w:b w:val="0"/>
                <w:sz w:val="16"/>
              </w:rPr>
              <w:t>Which tricks apply and what to do</w:t>
            </w:r>
          </w:p>
        </w:tc>
        <w:tc>
          <w:tcPr>
            <w:tcW w:type="dxa" w:w="2154"/>
            <w:shd w:val="clear" w:color="auto" w:fill="FAF6EA"/>
          </w:tcPr>
          <w:p>
            <w:pPr>
              <w:spacing w:after="20"/>
            </w:pPr>
            <w:r>
              <w:rPr>
                <w:b w:val="0"/>
                <w:sz w:val="16"/>
              </w:rPr>
              <w:t>New UPI users</w:t>
            </w:r>
          </w:p>
        </w:tc>
      </w:tr>
      <w:tr>
        <w:tc>
          <w:tcPr>
            <w:tcW w:type="dxa" w:w="1814"/>
          </w:tcPr>
          <w:p>
            <w:pPr>
              <w:spacing w:after="20"/>
            </w:pPr>
            <w:r>
              <w:rPr>
                <w:b w:val="0"/>
                <w:sz w:val="16"/>
              </w:rPr>
              <w:t>Is my policy good?</w:t>
            </w:r>
          </w:p>
        </w:tc>
        <w:tc>
          <w:tcPr>
            <w:tcW w:type="dxa" w:w="2494"/>
          </w:tcPr>
          <w:p>
            <w:pPr>
              <w:spacing w:after="20"/>
            </w:pPr>
            <w:r>
              <w:rPr>
                <w:b w:val="0"/>
                <w:sz w:val="16"/>
              </w:rPr>
              <w:t>Agent-sold endowment or bonus-refund plan</w:t>
            </w:r>
          </w:p>
        </w:tc>
        <w:tc>
          <w:tcPr>
            <w:tcW w:type="dxa" w:w="2948"/>
          </w:tcPr>
          <w:p>
            <w:pPr>
              <w:spacing w:after="20"/>
            </w:pPr>
            <w:r>
              <w:rPr>
                <w:b w:val="0"/>
                <w:sz w:val="16"/>
              </w:rPr>
              <w:t>Real yearly return versus term plus saving</w:t>
            </w:r>
          </w:p>
        </w:tc>
        <w:tc>
          <w:tcPr>
            <w:tcW w:type="dxa" w:w="2154"/>
          </w:tcPr>
          <w:p>
            <w:pPr>
              <w:spacing w:after="20"/>
            </w:pPr>
            <w:r>
              <w:rPr>
                <w:b w:val="0"/>
                <w:sz w:val="16"/>
              </w:rPr>
              <w:t>Insurance buyers</w:t>
            </w:r>
          </w:p>
        </w:tc>
      </w:tr>
      <w:tr>
        <w:tc>
          <w:tcPr>
            <w:tcW w:type="dxa" w:w="1814"/>
            <w:shd w:val="clear" w:color="auto" w:fill="FAF6EA"/>
          </w:tcPr>
          <w:p>
            <w:pPr>
              <w:spacing w:after="20"/>
            </w:pPr>
            <w:r>
              <w:rPr>
                <w:b w:val="0"/>
                <w:sz w:val="16"/>
              </w:rPr>
              <w:t>My government schemes</w:t>
            </w:r>
          </w:p>
        </w:tc>
        <w:tc>
          <w:tcPr>
            <w:tcW w:type="dxa" w:w="2494"/>
            <w:shd w:val="clear" w:color="auto" w:fill="FAF6EA"/>
          </w:tcPr>
          <w:p>
            <w:pPr>
              <w:spacing w:after="20"/>
            </w:pPr>
            <w:r>
              <w:rPr>
                <w:b w:val="0"/>
                <w:sz w:val="16"/>
              </w:rPr>
              <w:t>Which benefits might I qualify for?</w:t>
            </w:r>
          </w:p>
        </w:tc>
        <w:tc>
          <w:tcPr>
            <w:tcW w:type="dxa" w:w="2948"/>
            <w:shd w:val="clear" w:color="auto" w:fill="FAF6EA"/>
          </w:tcPr>
          <w:p>
            <w:pPr>
              <w:spacing w:after="20"/>
            </w:pPr>
            <w:r>
              <w:rPr>
                <w:b w:val="0"/>
                <w:sz w:val="16"/>
              </w:rPr>
              <w:t>Short list with reasons</w:t>
            </w:r>
          </w:p>
        </w:tc>
        <w:tc>
          <w:tcPr>
            <w:tcW w:type="dxa" w:w="2154"/>
            <w:shd w:val="clear" w:color="auto" w:fill="FAF6EA"/>
          </w:tcPr>
          <w:p>
            <w:pPr>
              <w:spacing w:after="20"/>
            </w:pPr>
            <w:r>
              <w:rPr>
                <w:b w:val="0"/>
                <w:sz w:val="16"/>
              </w:rPr>
              <w:t>Poor households</w:t>
            </w:r>
          </w:p>
        </w:tc>
      </w:tr>
      <w:tr>
        <w:tc>
          <w:tcPr>
            <w:tcW w:type="dxa" w:w="1814"/>
          </w:tcPr>
          <w:p>
            <w:pPr>
              <w:spacing w:after="20"/>
            </w:pPr>
            <w:r>
              <w:rPr>
                <w:b w:val="0"/>
                <w:sz w:val="16"/>
              </w:rPr>
              <w:t>Are my papers ready?</w:t>
            </w:r>
          </w:p>
        </w:tc>
        <w:tc>
          <w:tcPr>
            <w:tcW w:type="dxa" w:w="2494"/>
          </w:tcPr>
          <w:p>
            <w:pPr>
              <w:spacing w:after="20"/>
            </w:pPr>
            <w:r>
              <w:rPr>
                <w:b w:val="0"/>
                <w:sz w:val="16"/>
              </w:rPr>
              <w:t>Documents for a scheme or loan</w:t>
            </w:r>
          </w:p>
        </w:tc>
        <w:tc>
          <w:tcPr>
            <w:tcW w:type="dxa" w:w="2948"/>
          </w:tcPr>
          <w:p>
            <w:pPr>
              <w:spacing w:after="20"/>
            </w:pPr>
            <w:r>
              <w:rPr>
                <w:b w:val="0"/>
                <w:sz w:val="16"/>
              </w:rPr>
              <w:t>Checklist, Aadhaar-bank seeding hints</w:t>
            </w:r>
          </w:p>
        </w:tc>
        <w:tc>
          <w:tcPr>
            <w:tcW w:type="dxa" w:w="2154"/>
          </w:tcPr>
          <w:p>
            <w:pPr>
              <w:spacing w:after="20"/>
            </w:pPr>
            <w:r>
              <w:rPr>
                <w:b w:val="0"/>
                <w:sz w:val="16"/>
              </w:rPr>
              <w:t>Applicants</w:t>
            </w:r>
          </w:p>
        </w:tc>
      </w:tr>
      <w:tr>
        <w:tc>
          <w:tcPr>
            <w:tcW w:type="dxa" w:w="1814"/>
            <w:shd w:val="clear" w:color="auto" w:fill="FAF6EA"/>
          </w:tcPr>
          <w:p>
            <w:pPr>
              <w:spacing w:after="20"/>
            </w:pPr>
            <w:r>
              <w:rPr>
                <w:b w:val="0"/>
                <w:sz w:val="16"/>
              </w:rPr>
              <w:t>Why no money?</w:t>
            </w:r>
          </w:p>
        </w:tc>
        <w:tc>
          <w:tcPr>
            <w:tcW w:type="dxa" w:w="2494"/>
            <w:shd w:val="clear" w:color="auto" w:fill="FAF6EA"/>
          </w:tcPr>
          <w:p>
            <w:pPr>
              <w:spacing w:after="20"/>
            </w:pPr>
            <w:r>
              <w:rPr>
                <w:b w:val="0"/>
                <w:sz w:val="16"/>
              </w:rPr>
              <w:t>Pension or subsidy has not arrived</w:t>
            </w:r>
          </w:p>
        </w:tc>
        <w:tc>
          <w:tcPr>
            <w:tcW w:type="dxa" w:w="2948"/>
            <w:shd w:val="clear" w:color="auto" w:fill="FAF6EA"/>
          </w:tcPr>
          <w:p>
            <w:pPr>
              <w:spacing w:after="20"/>
            </w:pPr>
            <w:r>
              <w:rPr>
                <w:b w:val="0"/>
                <w:sz w:val="16"/>
              </w:rPr>
              <w:t>Likely causes in order, and the fix</w:t>
            </w:r>
          </w:p>
        </w:tc>
        <w:tc>
          <w:tcPr>
            <w:tcW w:type="dxa" w:w="2154"/>
            <w:shd w:val="clear" w:color="auto" w:fill="FAF6EA"/>
          </w:tcPr>
          <w:p>
            <w:pPr>
              <w:spacing w:after="20"/>
            </w:pPr>
            <w:r>
              <w:rPr>
                <w:b w:val="0"/>
                <w:sz w:val="16"/>
              </w:rPr>
              <w:t>DBT beneficiaries</w:t>
            </w:r>
          </w:p>
        </w:tc>
      </w:tr>
      <w:tr>
        <w:tc>
          <w:tcPr>
            <w:tcW w:type="dxa" w:w="1814"/>
          </w:tcPr>
          <w:p>
            <w:pPr>
              <w:spacing w:after="20"/>
            </w:pPr>
            <w:r>
              <w:rPr>
                <w:b w:val="0"/>
                <w:sz w:val="16"/>
              </w:rPr>
              <w:t>Plan my year</w:t>
            </w:r>
          </w:p>
        </w:tc>
        <w:tc>
          <w:tcPr>
            <w:tcW w:type="dxa" w:w="2494"/>
          </w:tcPr>
          <w:p>
            <w:pPr>
              <w:spacing w:after="20"/>
            </w:pPr>
            <w:r>
              <w:rPr>
                <w:b w:val="0"/>
                <w:sz w:val="16"/>
              </w:rPr>
              <w:t>Income arrives at harvest</w:t>
            </w:r>
          </w:p>
        </w:tc>
        <w:tc>
          <w:tcPr>
            <w:tcW w:type="dxa" w:w="2948"/>
          </w:tcPr>
          <w:p>
            <w:pPr>
              <w:spacing w:after="20"/>
            </w:pPr>
            <w:r>
              <w:rPr>
                <w:b w:val="0"/>
                <w:sz w:val="16"/>
              </w:rPr>
              <w:t>Month-by-month plan around lean months</w:t>
            </w:r>
          </w:p>
        </w:tc>
        <w:tc>
          <w:tcPr>
            <w:tcW w:type="dxa" w:w="2154"/>
          </w:tcPr>
          <w:p>
            <w:pPr>
              <w:spacing w:after="20"/>
            </w:pPr>
            <w:r>
              <w:rPr>
                <w:b w:val="0"/>
                <w:sz w:val="16"/>
              </w:rPr>
              <w:t>Farm families</w:t>
            </w:r>
          </w:p>
        </w:tc>
      </w:tr>
      <w:tr>
        <w:tc>
          <w:tcPr>
            <w:tcW w:type="dxa" w:w="1814"/>
            <w:shd w:val="clear" w:color="auto" w:fill="FAF6EA"/>
          </w:tcPr>
          <w:p>
            <w:pPr>
              <w:spacing w:after="20"/>
            </w:pPr>
            <w:r>
              <w:rPr>
                <w:b w:val="0"/>
                <w:sz w:val="16"/>
              </w:rPr>
              <w:t>Sell or hold?</w:t>
            </w:r>
          </w:p>
        </w:tc>
        <w:tc>
          <w:tcPr>
            <w:tcW w:type="dxa" w:w="2494"/>
            <w:shd w:val="clear" w:color="auto" w:fill="FAF6EA"/>
          </w:tcPr>
          <w:p>
            <w:pPr>
              <w:spacing w:after="20"/>
            </w:pPr>
            <w:r>
              <w:rPr>
                <w:b w:val="0"/>
                <w:sz w:val="16"/>
              </w:rPr>
              <w:t>Wait for a better mandi price?</w:t>
            </w:r>
          </w:p>
        </w:tc>
        <w:tc>
          <w:tcPr>
            <w:tcW w:type="dxa" w:w="2948"/>
            <w:shd w:val="clear" w:color="auto" w:fill="FAF6EA"/>
          </w:tcPr>
          <w:p>
            <w:pPr>
              <w:spacing w:after="20"/>
            </w:pPr>
            <w:r>
              <w:rPr>
                <w:b w:val="0"/>
                <w:sz w:val="16"/>
              </w:rPr>
              <w:t>Break-even price after storage cost and interest</w:t>
            </w:r>
          </w:p>
        </w:tc>
        <w:tc>
          <w:tcPr>
            <w:tcW w:type="dxa" w:w="2154"/>
            <w:shd w:val="clear" w:color="auto" w:fill="FAF6EA"/>
          </w:tcPr>
          <w:p>
            <w:pPr>
              <w:spacing w:after="20"/>
            </w:pPr>
            <w:r>
              <w:rPr>
                <w:b w:val="0"/>
                <w:sz w:val="16"/>
              </w:rPr>
              <w:t>Farmers</w:t>
            </w:r>
          </w:p>
        </w:tc>
      </w:tr>
      <w:tr>
        <w:tc>
          <w:tcPr>
            <w:tcW w:type="dxa" w:w="1814"/>
          </w:tcPr>
          <w:p>
            <w:pPr>
              <w:spacing w:after="20"/>
            </w:pPr>
            <w:r>
              <w:rPr>
                <w:b w:val="0"/>
                <w:sz w:val="16"/>
              </w:rPr>
              <w:t>Daily saving</w:t>
            </w:r>
          </w:p>
        </w:tc>
        <w:tc>
          <w:tcPr>
            <w:tcW w:type="dxa" w:w="2494"/>
          </w:tcPr>
          <w:p>
            <w:pPr>
              <w:spacing w:after="20"/>
            </w:pPr>
            <w:r>
              <w:rPr>
                <w:b w:val="0"/>
                <w:sz w:val="16"/>
              </w:rPr>
              <w:t>Rs 20 a day for a daughter's wedding</w:t>
            </w:r>
          </w:p>
        </w:tc>
        <w:tc>
          <w:tcPr>
            <w:tcW w:type="dxa" w:w="2948"/>
          </w:tcPr>
          <w:p>
            <w:pPr>
              <w:spacing w:after="20"/>
            </w:pPr>
            <w:r>
              <w:rPr>
                <w:b w:val="0"/>
                <w:sz w:val="16"/>
              </w:rPr>
              <w:t>What small daily savings become, with the working</w:t>
            </w:r>
          </w:p>
        </w:tc>
        <w:tc>
          <w:tcPr>
            <w:tcW w:type="dxa" w:w="2154"/>
          </w:tcPr>
          <w:p>
            <w:pPr>
              <w:spacing w:after="20"/>
            </w:pPr>
            <w:r>
              <w:rPr>
                <w:b w:val="0"/>
                <w:sz w:val="16"/>
              </w:rPr>
              <w:t>Low-income savers</w:t>
            </w:r>
          </w:p>
        </w:tc>
      </w:tr>
      <w:tr>
        <w:tc>
          <w:tcPr>
            <w:tcW w:type="dxa" w:w="1814"/>
            <w:shd w:val="clear" w:color="auto" w:fill="FAF6EA"/>
          </w:tcPr>
          <w:p>
            <w:pPr>
              <w:spacing w:after="20"/>
            </w:pPr>
            <w:r>
              <w:rPr>
                <w:b w:val="0"/>
                <w:sz w:val="16"/>
              </w:rPr>
              <w:t>Group ledger</w:t>
            </w:r>
          </w:p>
        </w:tc>
        <w:tc>
          <w:tcPr>
            <w:tcW w:type="dxa" w:w="2494"/>
            <w:shd w:val="clear" w:color="auto" w:fill="FAF6EA"/>
          </w:tcPr>
          <w:p>
            <w:pPr>
              <w:spacing w:after="20"/>
            </w:pPr>
            <w:r>
              <w:rPr>
                <w:b w:val="0"/>
                <w:sz w:val="16"/>
              </w:rPr>
              <w:t>SHG savings, loans, fines, repayments</w:t>
            </w:r>
          </w:p>
        </w:tc>
        <w:tc>
          <w:tcPr>
            <w:tcW w:type="dxa" w:w="2948"/>
            <w:shd w:val="clear" w:color="auto" w:fill="FAF6EA"/>
          </w:tcPr>
          <w:p>
            <w:pPr>
              <w:spacing w:after="20"/>
            </w:pPr>
            <w:r>
              <w:rPr>
                <w:b w:val="0"/>
                <w:sz w:val="16"/>
              </w:rPr>
              <w:t>Interest, who owes what, meeting report, member statements</w:t>
            </w:r>
          </w:p>
        </w:tc>
        <w:tc>
          <w:tcPr>
            <w:tcW w:type="dxa" w:w="2154"/>
            <w:shd w:val="clear" w:color="auto" w:fill="FAF6EA"/>
          </w:tcPr>
          <w:p>
            <w:pPr>
              <w:spacing w:after="20"/>
            </w:pPr>
            <w:r>
              <w:rPr>
                <w:b w:val="0"/>
                <w:sz w:val="16"/>
              </w:rPr>
              <w:t>SHG women and federations</w:t>
            </w:r>
          </w:p>
        </w:tc>
      </w:tr>
    </w:tbl>
    <w:p>
      <w:pPr>
        <w:spacing w:after="40"/>
      </w:pPr>
    </w:p>
    <w:p>
      <w:pPr>
        <w:pStyle w:val="Heading2"/>
      </w:pPr>
      <w:r>
        <w:t>Scam protection (nine scripts)</w:t>
      </w:r>
    </w:p>
    <w:p>
      <w:r>
        <w:rPr>
          <w:b w:val="0"/>
        </w:rPr>
        <w:t>Scams are not one thing, so the answer is not one thing. The platform recognises nine scripts and answers each with what the caller says, what is actually true and the first steps for that scam. After a loss, a recovery coach orders the first hour: freeze, call 1930, report on cybercrime.gov.in, and what not to do (never pay again to 'recover' money).</w:t>
      </w:r>
    </w:p>
    <w:tbl>
      <w:tblPr>
        <w:tblW w:type="auto" w:w="0"/>
        <w:jc w:val="center"/>
        <w:tblLayout w:type="fixed"/>
        <w:tblLook w:firstColumn="1" w:firstRow="1" w:lastColumn="0" w:lastRow="0" w:noHBand="0" w:noVBand="1" w:val="04A0"/>
        <w:tblBorders>
          <w:top w:val="single" w:sz="4" w:color="D8D0BC"/>
          <w:left w:val="single" w:sz="4" w:color="D8D0BC"/>
          <w:bottom w:val="single" w:sz="4" w:color="D8D0BC"/>
          <w:right w:val="single" w:sz="4" w:color="D8D0BC"/>
          <w:insideH w:val="single" w:sz="4" w:color="D8D0BC"/>
          <w:insideV w:val="single" w:sz="4" w:color="D8D0BC"/>
        </w:tblBorders>
      </w:tblPr>
      <w:tblGrid>
        <w:gridCol w:w="3175"/>
        <w:gridCol w:w="3175"/>
        <w:gridCol w:w="3175"/>
      </w:tblGrid>
      <w:tr>
        <w:tc>
          <w:tcPr>
            <w:tcW w:type="dxa" w:w="1928"/>
            <w:shd w:val="clear" w:color="auto" w:fill="2A2C31"/>
          </w:tcPr>
          <w:p>
            <w:pPr>
              <w:spacing w:after="20"/>
            </w:pPr>
            <w:r>
              <w:rPr>
                <w:b/>
                <w:color w:val="FFFFFF"/>
                <w:sz w:val="17"/>
              </w:rPr>
              <w:t>Script</w:t>
            </w:r>
          </w:p>
        </w:tc>
        <w:tc>
          <w:tcPr>
            <w:tcW w:type="dxa" w:w="4082"/>
            <w:shd w:val="clear" w:color="auto" w:fill="2A2C31"/>
          </w:tcPr>
          <w:p>
            <w:pPr>
              <w:spacing w:after="20"/>
            </w:pPr>
            <w:r>
              <w:rPr>
                <w:b/>
                <w:color w:val="FFFFFF"/>
                <w:sz w:val="17"/>
              </w:rPr>
              <w:t>The tell</w:t>
            </w:r>
          </w:p>
        </w:tc>
        <w:tc>
          <w:tcPr>
            <w:tcW w:type="dxa" w:w="3402"/>
            <w:shd w:val="clear" w:color="auto" w:fill="2A2C31"/>
          </w:tcPr>
          <w:p>
            <w:pPr>
              <w:spacing w:after="20"/>
            </w:pPr>
            <w:r>
              <w:rPr>
                <w:b/>
                <w:color w:val="FFFFFF"/>
                <w:sz w:val="17"/>
              </w:rPr>
              <w:t>First step</w:t>
            </w:r>
          </w:p>
        </w:tc>
      </w:tr>
      <w:tr>
        <w:tc>
          <w:tcPr>
            <w:tcW w:type="dxa" w:w="1928"/>
          </w:tcPr>
          <w:p>
            <w:pPr>
              <w:spacing w:after="20"/>
            </w:pPr>
            <w:r>
              <w:rPr>
                <w:b w:val="0"/>
                <w:sz w:val="17"/>
              </w:rPr>
              <w:t>Bank OTP / KYC</w:t>
            </w:r>
          </w:p>
        </w:tc>
        <w:tc>
          <w:tcPr>
            <w:tcW w:type="dxa" w:w="4082"/>
          </w:tcPr>
          <w:p>
            <w:pPr>
              <w:spacing w:after="20"/>
            </w:pPr>
            <w:r>
              <w:rPr>
                <w:b w:val="0"/>
                <w:sz w:val="17"/>
              </w:rPr>
              <w:t>Asks for OTP, PIN or CVV; deadline of minutes</w:t>
            </w:r>
          </w:p>
        </w:tc>
        <w:tc>
          <w:tcPr>
            <w:tcW w:type="dxa" w:w="3402"/>
          </w:tcPr>
          <w:p>
            <w:pPr>
              <w:spacing w:after="20"/>
            </w:pPr>
            <w:r>
              <w:rPr>
                <w:b w:val="0"/>
                <w:sz w:val="17"/>
              </w:rPr>
              <w:t>Hang up; call the number on your card</w:t>
            </w:r>
          </w:p>
        </w:tc>
      </w:tr>
      <w:tr>
        <w:tc>
          <w:tcPr>
            <w:tcW w:type="dxa" w:w="1928"/>
            <w:shd w:val="clear" w:color="auto" w:fill="FAF6EA"/>
          </w:tcPr>
          <w:p>
            <w:pPr>
              <w:spacing w:after="20"/>
            </w:pPr>
            <w:r>
              <w:rPr>
                <w:b w:val="0"/>
                <w:sz w:val="17"/>
              </w:rPr>
              <w:t>Digital arrest</w:t>
            </w:r>
          </w:p>
        </w:tc>
        <w:tc>
          <w:tcPr>
            <w:tcW w:type="dxa" w:w="4082"/>
            <w:shd w:val="clear" w:color="auto" w:fill="FAF6EA"/>
          </w:tcPr>
          <w:p>
            <w:pPr>
              <w:spacing w:after="20"/>
            </w:pPr>
            <w:r>
              <w:rPr>
                <w:b w:val="0"/>
                <w:sz w:val="17"/>
              </w:rPr>
              <w:t>Police or CBI on video call; keep it secret; move money</w:t>
            </w:r>
          </w:p>
        </w:tc>
        <w:tc>
          <w:tcPr>
            <w:tcW w:type="dxa" w:w="3402"/>
            <w:shd w:val="clear" w:color="auto" w:fill="FAF6EA"/>
          </w:tcPr>
          <w:p>
            <w:pPr>
              <w:spacing w:after="20"/>
            </w:pPr>
            <w:r>
              <w:rPr>
                <w:b w:val="0"/>
                <w:sz w:val="17"/>
              </w:rPr>
              <w:t>Hang up; tell family; report on 1930</w:t>
            </w:r>
          </w:p>
        </w:tc>
      </w:tr>
      <w:tr>
        <w:tc>
          <w:tcPr>
            <w:tcW w:type="dxa" w:w="1928"/>
          </w:tcPr>
          <w:p>
            <w:pPr>
              <w:spacing w:after="20"/>
            </w:pPr>
            <w:r>
              <w:rPr>
                <w:b w:val="0"/>
                <w:sz w:val="17"/>
              </w:rPr>
              <w:t>Courier parcel</w:t>
            </w:r>
          </w:p>
        </w:tc>
        <w:tc>
          <w:tcPr>
            <w:tcW w:type="dxa" w:w="4082"/>
          </w:tcPr>
          <w:p>
            <w:pPr>
              <w:spacing w:after="20"/>
            </w:pPr>
            <w:r>
              <w:rPr>
                <w:b w:val="0"/>
                <w:sz w:val="17"/>
              </w:rPr>
              <w:t>Parcel with drugs; customs fee; press 1</w:t>
            </w:r>
          </w:p>
        </w:tc>
        <w:tc>
          <w:tcPr>
            <w:tcW w:type="dxa" w:w="3402"/>
          </w:tcPr>
          <w:p>
            <w:pPr>
              <w:spacing w:after="20"/>
            </w:pPr>
            <w:r>
              <w:rPr>
                <w:b w:val="0"/>
                <w:sz w:val="17"/>
              </w:rPr>
              <w:t>Do not press or pay; check the courier site</w:t>
            </w:r>
          </w:p>
        </w:tc>
      </w:tr>
      <w:tr>
        <w:tc>
          <w:tcPr>
            <w:tcW w:type="dxa" w:w="1928"/>
            <w:shd w:val="clear" w:color="auto" w:fill="FAF6EA"/>
          </w:tcPr>
          <w:p>
            <w:pPr>
              <w:spacing w:after="20"/>
            </w:pPr>
            <w:r>
              <w:rPr>
                <w:b w:val="0"/>
                <w:sz w:val="17"/>
              </w:rPr>
              <w:t>Remote app</w:t>
            </w:r>
          </w:p>
        </w:tc>
        <w:tc>
          <w:tcPr>
            <w:tcW w:type="dxa" w:w="4082"/>
            <w:shd w:val="clear" w:color="auto" w:fill="FAF6EA"/>
          </w:tcPr>
          <w:p>
            <w:pPr>
              <w:spacing w:after="20"/>
            </w:pPr>
            <w:r>
              <w:rPr>
                <w:b w:val="0"/>
                <w:sz w:val="17"/>
              </w:rPr>
              <w:t>Install AnyDesk or a support app</w:t>
            </w:r>
          </w:p>
        </w:tc>
        <w:tc>
          <w:tcPr>
            <w:tcW w:type="dxa" w:w="3402"/>
            <w:shd w:val="clear" w:color="auto" w:fill="FAF6EA"/>
          </w:tcPr>
          <w:p>
            <w:pPr>
              <w:spacing w:after="20"/>
            </w:pPr>
            <w:r>
              <w:rPr>
                <w:b w:val="0"/>
                <w:sz w:val="17"/>
              </w:rPr>
              <w:t>Uninstall; change passwords from another device</w:t>
            </w:r>
          </w:p>
        </w:tc>
      </w:tr>
      <w:tr>
        <w:tc>
          <w:tcPr>
            <w:tcW w:type="dxa" w:w="1928"/>
          </w:tcPr>
          <w:p>
            <w:pPr>
              <w:spacing w:after="20"/>
            </w:pPr>
            <w:r>
              <w:rPr>
                <w:b w:val="0"/>
                <w:sz w:val="17"/>
              </w:rPr>
              <w:t>Task job</w:t>
            </w:r>
          </w:p>
        </w:tc>
        <w:tc>
          <w:tcPr>
            <w:tcW w:type="dxa" w:w="4082"/>
          </w:tcPr>
          <w:p>
            <w:pPr>
              <w:spacing w:after="20"/>
            </w:pPr>
            <w:r>
              <w:rPr>
                <w:b w:val="0"/>
                <w:sz w:val="17"/>
              </w:rPr>
              <w:t>Earn per like or task, then pay to unlock</w:t>
            </w:r>
          </w:p>
        </w:tc>
        <w:tc>
          <w:tcPr>
            <w:tcW w:type="dxa" w:w="3402"/>
          </w:tcPr>
          <w:p>
            <w:pPr>
              <w:spacing w:after="20"/>
            </w:pPr>
            <w:r>
              <w:rPr>
                <w:b w:val="0"/>
                <w:sz w:val="17"/>
              </w:rPr>
              <w:t>Stop paying; keep receipts; report</w:t>
            </w:r>
          </w:p>
        </w:tc>
      </w:tr>
      <w:tr>
        <w:tc>
          <w:tcPr>
            <w:tcW w:type="dxa" w:w="1928"/>
            <w:shd w:val="clear" w:color="auto" w:fill="FAF6EA"/>
          </w:tcPr>
          <w:p>
            <w:pPr>
              <w:spacing w:after="20"/>
            </w:pPr>
            <w:r>
              <w:rPr>
                <w:b w:val="0"/>
                <w:sz w:val="17"/>
              </w:rPr>
              <w:t>Loan app threats</w:t>
            </w:r>
          </w:p>
        </w:tc>
        <w:tc>
          <w:tcPr>
            <w:tcW w:type="dxa" w:w="4082"/>
            <w:shd w:val="clear" w:color="auto" w:fill="FAF6EA"/>
          </w:tcPr>
          <w:p>
            <w:pPr>
              <w:spacing w:after="20"/>
            </w:pPr>
            <w:r>
              <w:rPr>
                <w:b w:val="0"/>
                <w:sz w:val="17"/>
              </w:rPr>
              <w:t>Fee first, contacts and photos access, morphed pictures</w:t>
            </w:r>
          </w:p>
        </w:tc>
        <w:tc>
          <w:tcPr>
            <w:tcW w:type="dxa" w:w="3402"/>
            <w:shd w:val="clear" w:color="auto" w:fill="FAF6EA"/>
          </w:tcPr>
          <w:p>
            <w:pPr>
              <w:spacing w:after="20"/>
            </w:pPr>
            <w:r>
              <w:rPr>
                <w:b w:val="0"/>
                <w:sz w:val="17"/>
              </w:rPr>
              <w:t>Uninstall, revoke permissions, report</w:t>
            </w:r>
          </w:p>
        </w:tc>
      </w:tr>
      <w:tr>
        <w:tc>
          <w:tcPr>
            <w:tcW w:type="dxa" w:w="1928"/>
          </w:tcPr>
          <w:p>
            <w:pPr>
              <w:spacing w:after="20"/>
            </w:pPr>
            <w:r>
              <w:rPr>
                <w:b w:val="0"/>
                <w:sz w:val="17"/>
              </w:rPr>
              <w:t>Prize / lottery</w:t>
            </w:r>
          </w:p>
        </w:tc>
        <w:tc>
          <w:tcPr>
            <w:tcW w:type="dxa" w:w="4082"/>
          </w:tcPr>
          <w:p>
            <w:pPr>
              <w:spacing w:after="20"/>
            </w:pPr>
            <w:r>
              <w:rPr>
                <w:b w:val="0"/>
                <w:sz w:val="17"/>
              </w:rPr>
              <w:t>Pay a fee to release a prize</w:t>
            </w:r>
          </w:p>
        </w:tc>
        <w:tc>
          <w:tcPr>
            <w:tcW w:type="dxa" w:w="3402"/>
          </w:tcPr>
          <w:p>
            <w:pPr>
              <w:spacing w:after="20"/>
            </w:pPr>
            <w:r>
              <w:rPr>
                <w:b w:val="0"/>
                <w:sz w:val="17"/>
              </w:rPr>
              <w:t>Ignore, block, report if paid</w:t>
            </w:r>
          </w:p>
        </w:tc>
      </w:tr>
      <w:tr>
        <w:tc>
          <w:tcPr>
            <w:tcW w:type="dxa" w:w="1928"/>
            <w:shd w:val="clear" w:color="auto" w:fill="FAF6EA"/>
          </w:tcPr>
          <w:p>
            <w:pPr>
              <w:spacing w:after="20"/>
            </w:pPr>
            <w:r>
              <w:rPr>
                <w:b w:val="0"/>
                <w:sz w:val="17"/>
              </w:rPr>
              <w:t>SIM / electricity</w:t>
            </w:r>
          </w:p>
        </w:tc>
        <w:tc>
          <w:tcPr>
            <w:tcW w:type="dxa" w:w="4082"/>
            <w:shd w:val="clear" w:color="auto" w:fill="FAF6EA"/>
          </w:tcPr>
          <w:p>
            <w:pPr>
              <w:spacing w:after="20"/>
            </w:pPr>
            <w:r>
              <w:rPr>
                <w:b w:val="0"/>
                <w:sz w:val="17"/>
              </w:rPr>
              <w:t>Disconnection tonight unless you call</w:t>
            </w:r>
          </w:p>
        </w:tc>
        <w:tc>
          <w:tcPr>
            <w:tcW w:type="dxa" w:w="3402"/>
            <w:shd w:val="clear" w:color="auto" w:fill="FAF6EA"/>
          </w:tcPr>
          <w:p>
            <w:pPr>
              <w:spacing w:after="20"/>
            </w:pPr>
            <w:r>
              <w:rPr>
                <w:b w:val="0"/>
                <w:sz w:val="17"/>
              </w:rPr>
              <w:t>Check the bill on the provider's own app</w:t>
            </w:r>
          </w:p>
        </w:tc>
      </w:tr>
      <w:tr>
        <w:tc>
          <w:tcPr>
            <w:tcW w:type="dxa" w:w="1928"/>
          </w:tcPr>
          <w:p>
            <w:pPr>
              <w:spacing w:after="20"/>
            </w:pPr>
            <w:r>
              <w:rPr>
                <w:b w:val="0"/>
                <w:sz w:val="17"/>
              </w:rPr>
              <w:t>Investment group</w:t>
            </w:r>
          </w:p>
        </w:tc>
        <w:tc>
          <w:tcPr>
            <w:tcW w:type="dxa" w:w="4082"/>
          </w:tcPr>
          <w:p>
            <w:pPr>
              <w:spacing w:after="20"/>
            </w:pPr>
            <w:r>
              <w:rPr>
                <w:b w:val="0"/>
                <w:sz w:val="17"/>
              </w:rPr>
              <w:t>Guaranteed returns, VIP group, app shows fake profit</w:t>
            </w:r>
          </w:p>
        </w:tc>
        <w:tc>
          <w:tcPr>
            <w:tcW w:type="dxa" w:w="3402"/>
          </w:tcPr>
          <w:p>
            <w:pPr>
              <w:spacing w:after="20"/>
            </w:pPr>
            <w:r>
              <w:rPr>
                <w:b w:val="0"/>
                <w:sz w:val="17"/>
              </w:rPr>
              <w:t>Stop sending money; check SEBI registration</w:t>
            </w:r>
          </w:p>
        </w:tc>
      </w:tr>
    </w:tbl>
    <w:p>
      <w:pPr>
        <w:spacing w:after="40"/>
      </w:pPr>
    </w:p>
    <w:p>
      <w:pPr>
        <w:pStyle w:val="Heading2"/>
      </w:pPr>
      <w:r>
        <w:t>Reaching people without an app</w:t>
      </w:r>
    </w:p>
    <w:p>
      <w:pPr>
        <w:pStyle w:val="ListBullet"/>
        <w:spacing w:after="40"/>
      </w:pPr>
      <w:r>
        <w:rPr>
          <w:b/>
        </w:rPr>
        <w:t>WhatsApp and SMS.</w:t>
      </w:r>
      <w:r>
        <w:rPr>
          <w:b w:val="0"/>
        </w:rPr>
        <w:t xml:space="preserve"> A numbered menu of fourteen options, one question at a time, text or voice note, Hindi or English. The simulator in the app is the exact conversation a real number would have; connecting a real number is a Twilio webhook.</w:t>
      </w:r>
    </w:p>
    <w:p>
      <w:pPr>
        <w:pStyle w:val="ListBullet"/>
        <w:spacing w:after="40"/>
      </w:pPr>
      <w:r>
        <w:rPr>
          <w:b/>
        </w:rPr>
        <w:t>Hindi voice.</w:t>
      </w:r>
      <w:r>
        <w:rPr>
          <w:b w:val="0"/>
        </w:rPr>
        <w:t xml:space="preserve"> Speech is turned into text on the same machine, shown back as 'I heard...' so a mishearing is fixed before it is answered, and answers can be read aloud.</w:t>
      </w:r>
    </w:p>
    <w:p>
      <w:pPr>
        <w:pStyle w:val="ListBullet"/>
        <w:spacing w:after="40"/>
      </w:pPr>
      <w:r>
        <w:rPr>
          <w:b/>
        </w:rPr>
        <w:t>Offline pack.</w:t>
      </w:r>
      <w:r>
        <w:rPr>
          <w:b w:val="0"/>
        </w:rPr>
        <w:t xml:space="preserve"> The app and the Python calculators are saved in the browser (Pyodide), so a village with no signal still has every tool.</w:t>
      </w:r>
    </w:p>
    <w:p>
      <w:pPr>
        <w:pStyle w:val="ListBullet"/>
        <w:spacing w:after="40"/>
      </w:pPr>
      <w:r>
        <w:rPr>
          <w:b/>
        </w:rPr>
        <w:t>Kiosk mode.</w:t>
      </w:r>
      <w:r>
        <w:rPr>
          <w:b w:val="0"/>
        </w:rPr>
        <w:t xml:space="preserve"> On a shared phone or a Common Service Centre screen, one tap wipes the previous person's answers before the next person starts.</w:t>
      </w:r>
    </w:p>
    <w:p>
      <w:pPr>
        <w:pStyle w:val="ListBullet"/>
        <w:spacing w:after="40"/>
      </w:pPr>
      <w:r>
        <w:rPr>
          <w:b/>
        </w:rPr>
        <w:t>Guided tours.</w:t>
      </w:r>
      <w:r>
        <w:rPr>
          <w:b w:val="0"/>
        </w:rPr>
        <w:t xml:space="preserve"> Every feature can be walked through on screen with a spoken caption, so someone who cannot read well can still learn the tool by watching it.</w:t>
      </w:r>
    </w:p>
    <w:p>
      <w:pPr>
        <w:pStyle w:val="Heading2"/>
      </w:pPr>
      <w:r>
        <w:t>The WhatsApp / SMS menu</w:t>
      </w:r>
    </w:p>
    <w:tbl>
      <w:tblPr>
        <w:tblW w:type="auto" w:w="0"/>
        <w:jc w:val="center"/>
        <w:tblLayout w:type="fixed"/>
        <w:tblLook w:firstColumn="1" w:firstRow="1" w:lastColumn="0" w:lastRow="0" w:noHBand="0" w:noVBand="1" w:val="04A0"/>
        <w:tblBorders>
          <w:top w:val="single" w:sz="4" w:color="D8D0BC"/>
          <w:left w:val="single" w:sz="4" w:color="D8D0BC"/>
          <w:bottom w:val="single" w:sz="4" w:color="D8D0BC"/>
          <w:right w:val="single" w:sz="4" w:color="D8D0BC"/>
          <w:insideH w:val="single" w:sz="4" w:color="D8D0BC"/>
          <w:insideV w:val="single" w:sz="4" w:color="D8D0BC"/>
        </w:tblBorders>
      </w:tblPr>
      <w:tblGrid>
        <w:gridCol w:w="2381"/>
        <w:gridCol w:w="2381"/>
        <w:gridCol w:w="2381"/>
        <w:gridCol w:w="2381"/>
      </w:tblGrid>
      <w:tr>
        <w:tc>
          <w:tcPr>
            <w:tcW w:type="dxa" w:w="680"/>
            <w:shd w:val="clear" w:color="auto" w:fill="2A2C31"/>
          </w:tcPr>
          <w:p>
            <w:pPr>
              <w:spacing w:after="20"/>
            </w:pPr>
            <w:r>
              <w:rPr>
                <w:b/>
                <w:color w:val="FFFFFF"/>
                <w:sz w:val="17"/>
              </w:rPr>
              <w:t>No.</w:t>
            </w:r>
          </w:p>
        </w:tc>
        <w:tc>
          <w:tcPr>
            <w:tcW w:type="dxa" w:w="4025"/>
            <w:shd w:val="clear" w:color="auto" w:fill="2A2C31"/>
          </w:tcPr>
          <w:p>
            <w:pPr>
              <w:spacing w:after="20"/>
            </w:pPr>
            <w:r>
              <w:rPr>
                <w:b/>
                <w:color w:val="FFFFFF"/>
                <w:sz w:val="17"/>
              </w:rPr>
              <w:t>Option</w:t>
            </w:r>
          </w:p>
        </w:tc>
        <w:tc>
          <w:tcPr>
            <w:tcW w:type="dxa" w:w="680"/>
            <w:shd w:val="clear" w:color="auto" w:fill="2A2C31"/>
          </w:tcPr>
          <w:p>
            <w:pPr>
              <w:spacing w:after="20"/>
            </w:pPr>
            <w:r>
              <w:rPr>
                <w:b/>
                <w:color w:val="FFFFFF"/>
                <w:sz w:val="17"/>
              </w:rPr>
              <w:t>No.</w:t>
            </w:r>
          </w:p>
        </w:tc>
        <w:tc>
          <w:tcPr>
            <w:tcW w:type="dxa" w:w="4025"/>
            <w:shd w:val="clear" w:color="auto" w:fill="2A2C31"/>
          </w:tcPr>
          <w:p>
            <w:pPr>
              <w:spacing w:after="20"/>
            </w:pPr>
            <w:r>
              <w:rPr>
                <w:b/>
                <w:color w:val="FFFFFF"/>
                <w:sz w:val="17"/>
              </w:rPr>
              <w:t>Option</w:t>
            </w:r>
          </w:p>
        </w:tc>
      </w:tr>
      <w:tr>
        <w:tc>
          <w:tcPr>
            <w:tcW w:type="dxa" w:w="680"/>
          </w:tcPr>
          <w:p>
            <w:pPr>
              <w:spacing w:after="20"/>
            </w:pPr>
            <w:r>
              <w:rPr>
                <w:b w:val="0"/>
                <w:sz w:val="17"/>
              </w:rPr>
              <w:t>1</w:t>
            </w:r>
          </w:p>
        </w:tc>
        <w:tc>
          <w:tcPr>
            <w:tcW w:type="dxa" w:w="4025"/>
          </w:tcPr>
          <w:p>
            <w:pPr>
              <w:spacing w:after="20"/>
            </w:pPr>
            <w:r>
              <w:rPr>
                <w:b w:val="0"/>
                <w:sz w:val="17"/>
              </w:rPr>
              <w:t>Check a moneylender's interest</w:t>
            </w:r>
          </w:p>
        </w:tc>
        <w:tc>
          <w:tcPr>
            <w:tcW w:type="dxa" w:w="680"/>
          </w:tcPr>
          <w:p>
            <w:pPr>
              <w:spacing w:after="20"/>
            </w:pPr>
            <w:r>
              <w:rPr>
                <w:b w:val="0"/>
                <w:sz w:val="17"/>
              </w:rPr>
              <w:t>8</w:t>
            </w:r>
          </w:p>
        </w:tc>
        <w:tc>
          <w:tcPr>
            <w:tcW w:type="dxa" w:w="4025"/>
          </w:tcPr>
          <w:p>
            <w:pPr>
              <w:spacing w:after="20"/>
            </w:pPr>
            <w:r>
              <w:rPr>
                <w:b w:val="0"/>
                <w:sz w:val="17"/>
              </w:rPr>
              <w:t>Will my savings reach my goal?</w:t>
            </w:r>
          </w:p>
        </w:tc>
      </w:tr>
      <w:tr>
        <w:tc>
          <w:tcPr>
            <w:tcW w:type="dxa" w:w="680"/>
            <w:shd w:val="clear" w:color="auto" w:fill="FAF6EA"/>
          </w:tcPr>
          <w:p>
            <w:pPr>
              <w:spacing w:after="20"/>
            </w:pPr>
            <w:r>
              <w:rPr>
                <w:b w:val="0"/>
                <w:sz w:val="17"/>
              </w:rPr>
              <w:t>2</w:t>
            </w:r>
          </w:p>
        </w:tc>
        <w:tc>
          <w:tcPr>
            <w:tcW w:type="dxa" w:w="4025"/>
            <w:shd w:val="clear" w:color="auto" w:fill="FAF6EA"/>
          </w:tcPr>
          <w:p>
            <w:pPr>
              <w:spacing w:after="20"/>
            </w:pPr>
            <w:r>
              <w:rPr>
                <w:b w:val="0"/>
                <w:sz w:val="17"/>
              </w:rPr>
              <w:t>Is an offer or scheme real?</w:t>
            </w:r>
          </w:p>
        </w:tc>
        <w:tc>
          <w:tcPr>
            <w:tcW w:type="dxa" w:w="680"/>
            <w:shd w:val="clear" w:color="auto" w:fill="FAF6EA"/>
          </w:tcPr>
          <w:p>
            <w:pPr>
              <w:spacing w:after="20"/>
            </w:pPr>
            <w:r>
              <w:rPr>
                <w:b w:val="0"/>
                <w:sz w:val="17"/>
              </w:rPr>
              <w:t>9</w:t>
            </w:r>
          </w:p>
        </w:tc>
        <w:tc>
          <w:tcPr>
            <w:tcW w:type="dxa" w:w="4025"/>
            <w:shd w:val="clear" w:color="auto" w:fill="FAF6EA"/>
          </w:tcPr>
          <w:p>
            <w:pPr>
              <w:spacing w:after="20"/>
            </w:pPr>
            <w:r>
              <w:rPr>
                <w:b w:val="0"/>
                <w:sz w:val="17"/>
              </w:rPr>
              <w:t>Credit score: why was my loan rejected?</w:t>
            </w:r>
          </w:p>
        </w:tc>
      </w:tr>
      <w:tr>
        <w:tc>
          <w:tcPr>
            <w:tcW w:type="dxa" w:w="680"/>
          </w:tcPr>
          <w:p>
            <w:pPr>
              <w:spacing w:after="20"/>
            </w:pPr>
            <w:r>
              <w:rPr>
                <w:b w:val="0"/>
                <w:sz w:val="17"/>
              </w:rPr>
              <w:t>3</w:t>
            </w:r>
          </w:p>
        </w:tc>
        <w:tc>
          <w:tcPr>
            <w:tcW w:type="dxa" w:w="4025"/>
          </w:tcPr>
          <w:p>
            <w:pPr>
              <w:spacing w:after="20"/>
            </w:pPr>
            <w:r>
              <w:rPr>
                <w:b w:val="0"/>
                <w:sz w:val="17"/>
              </w:rPr>
              <w:t>Government schemes I can get</w:t>
            </w:r>
          </w:p>
        </w:tc>
        <w:tc>
          <w:tcPr>
            <w:tcW w:type="dxa" w:w="680"/>
          </w:tcPr>
          <w:p>
            <w:pPr>
              <w:spacing w:after="20"/>
            </w:pPr>
            <w:r>
              <w:rPr>
                <w:b w:val="0"/>
                <w:sz w:val="17"/>
              </w:rPr>
              <w:t>10</w:t>
            </w:r>
          </w:p>
        </w:tc>
        <w:tc>
          <w:tcPr>
            <w:tcW w:type="dxa" w:w="4025"/>
          </w:tcPr>
          <w:p>
            <w:pPr>
              <w:spacing w:after="20"/>
            </w:pPr>
            <w:r>
              <w:rPr>
                <w:b w:val="0"/>
                <w:sz w:val="17"/>
              </w:rPr>
              <w:t>Save a little every day for a goal</w:t>
            </w:r>
          </w:p>
        </w:tc>
      </w:tr>
      <w:tr>
        <w:tc>
          <w:tcPr>
            <w:tcW w:type="dxa" w:w="680"/>
            <w:shd w:val="clear" w:color="auto" w:fill="FAF6EA"/>
          </w:tcPr>
          <w:p>
            <w:pPr>
              <w:spacing w:after="20"/>
            </w:pPr>
            <w:r>
              <w:rPr>
                <w:b w:val="0"/>
                <w:sz w:val="17"/>
              </w:rPr>
              <w:t>4</w:t>
            </w:r>
          </w:p>
        </w:tc>
        <w:tc>
          <w:tcPr>
            <w:tcW w:type="dxa" w:w="4025"/>
            <w:shd w:val="clear" w:color="auto" w:fill="FAF6EA"/>
          </w:tcPr>
          <w:p>
            <w:pPr>
              <w:spacing w:after="20"/>
            </w:pPr>
            <w:r>
              <w:rPr>
                <w:b w:val="0"/>
                <w:sz w:val="17"/>
              </w:rPr>
              <w:t>Are my papers ready?</w:t>
            </w:r>
          </w:p>
        </w:tc>
        <w:tc>
          <w:tcPr>
            <w:tcW w:type="dxa" w:w="680"/>
            <w:shd w:val="clear" w:color="auto" w:fill="FAF6EA"/>
          </w:tcPr>
          <w:p>
            <w:pPr>
              <w:spacing w:after="20"/>
            </w:pPr>
            <w:r>
              <w:rPr>
                <w:b w:val="0"/>
                <w:sz w:val="17"/>
              </w:rPr>
              <w:t>11</w:t>
            </w:r>
          </w:p>
        </w:tc>
        <w:tc>
          <w:tcPr>
            <w:tcW w:type="dxa" w:w="4025"/>
            <w:shd w:val="clear" w:color="auto" w:fill="FAF6EA"/>
          </w:tcPr>
          <w:p>
            <w:pPr>
              <w:spacing w:after="20"/>
            </w:pPr>
            <w:r>
              <w:rPr>
                <w:b w:val="0"/>
                <w:sz w:val="17"/>
              </w:rPr>
              <w:t>Sell my crop now or wait?</w:t>
            </w:r>
          </w:p>
        </w:tc>
      </w:tr>
      <w:tr>
        <w:tc>
          <w:tcPr>
            <w:tcW w:type="dxa" w:w="680"/>
          </w:tcPr>
          <w:p>
            <w:pPr>
              <w:spacing w:after="20"/>
            </w:pPr>
            <w:r>
              <w:rPr>
                <w:b w:val="0"/>
                <w:sz w:val="17"/>
              </w:rPr>
              <w:t>5</w:t>
            </w:r>
          </w:p>
        </w:tc>
        <w:tc>
          <w:tcPr>
            <w:tcW w:type="dxa" w:w="4025"/>
          </w:tcPr>
          <w:p>
            <w:pPr>
              <w:spacing w:after="20"/>
            </w:pPr>
            <w:r>
              <w:rPr>
                <w:b w:val="0"/>
                <w:sz w:val="17"/>
              </w:rPr>
              <w:t>Plan my money around harvest</w:t>
            </w:r>
          </w:p>
        </w:tc>
        <w:tc>
          <w:tcPr>
            <w:tcW w:type="dxa" w:w="680"/>
          </w:tcPr>
          <w:p>
            <w:pPr>
              <w:spacing w:after="20"/>
            </w:pPr>
            <w:r>
              <w:rPr>
                <w:b w:val="0"/>
                <w:sz w:val="17"/>
              </w:rPr>
              <w:t>12</w:t>
            </w:r>
          </w:p>
        </w:tc>
        <w:tc>
          <w:tcPr>
            <w:tcW w:type="dxa" w:w="4025"/>
          </w:tcPr>
          <w:p>
            <w:pPr>
              <w:spacing w:after="20"/>
            </w:pPr>
            <w:r>
              <w:rPr>
                <w:b w:val="0"/>
                <w:sz w:val="17"/>
              </w:rPr>
              <w:t>Why has my government payment not come?</w:t>
            </w:r>
          </w:p>
        </w:tc>
      </w:tr>
      <w:tr>
        <w:tc>
          <w:tcPr>
            <w:tcW w:type="dxa" w:w="680"/>
            <w:shd w:val="clear" w:color="auto" w:fill="FAF6EA"/>
          </w:tcPr>
          <w:p>
            <w:pPr>
              <w:spacing w:after="20"/>
            </w:pPr>
            <w:r>
              <w:rPr>
                <w:b w:val="0"/>
                <w:sz w:val="17"/>
              </w:rPr>
              <w:t>6</w:t>
            </w:r>
          </w:p>
        </w:tc>
        <w:tc>
          <w:tcPr>
            <w:tcW w:type="dxa" w:w="4025"/>
            <w:shd w:val="clear" w:color="auto" w:fill="FAF6EA"/>
          </w:tcPr>
          <w:p>
            <w:pPr>
              <w:spacing w:after="20"/>
            </w:pPr>
            <w:r>
              <w:rPr>
                <w:b w:val="0"/>
                <w:sz w:val="17"/>
              </w:rPr>
              <w:t>What does a fund fee cost?</w:t>
            </w:r>
          </w:p>
        </w:tc>
        <w:tc>
          <w:tcPr>
            <w:tcW w:type="dxa" w:w="680"/>
            <w:shd w:val="clear" w:color="auto" w:fill="FAF6EA"/>
          </w:tcPr>
          <w:p>
            <w:pPr>
              <w:spacing w:after="20"/>
            </w:pPr>
            <w:r>
              <w:rPr>
                <w:b w:val="0"/>
                <w:sz w:val="17"/>
              </w:rPr>
              <w:t>13</w:t>
            </w:r>
          </w:p>
        </w:tc>
        <w:tc>
          <w:tcPr>
            <w:tcW w:type="dxa" w:w="4025"/>
            <w:shd w:val="clear" w:color="auto" w:fill="FAF6EA"/>
          </w:tcPr>
          <w:p>
            <w:pPr>
              <w:spacing w:after="20"/>
            </w:pPr>
            <w:r>
              <w:rPr>
                <w:b w:val="0"/>
                <w:sz w:val="17"/>
              </w:rPr>
              <w:t>Is this UPI request or QR safe?</w:t>
            </w:r>
          </w:p>
        </w:tc>
      </w:tr>
      <w:tr>
        <w:tc>
          <w:tcPr>
            <w:tcW w:type="dxa" w:w="680"/>
          </w:tcPr>
          <w:p>
            <w:pPr>
              <w:spacing w:after="20"/>
            </w:pPr>
            <w:r>
              <w:rPr>
                <w:b w:val="0"/>
                <w:sz w:val="17"/>
              </w:rPr>
              <w:t>7</w:t>
            </w:r>
          </w:p>
        </w:tc>
        <w:tc>
          <w:tcPr>
            <w:tcW w:type="dxa" w:w="4025"/>
          </w:tcPr>
          <w:p>
            <w:pPr>
              <w:spacing w:after="20"/>
            </w:pPr>
            <w:r>
              <w:rPr>
                <w:b w:val="0"/>
                <w:sz w:val="17"/>
              </w:rPr>
              <w:t>How long will my savings last?</w:t>
            </w:r>
          </w:p>
        </w:tc>
        <w:tc>
          <w:tcPr>
            <w:tcW w:type="dxa" w:w="680"/>
          </w:tcPr>
          <w:p>
            <w:pPr>
              <w:spacing w:after="20"/>
            </w:pPr>
            <w:r>
              <w:rPr>
                <w:b w:val="0"/>
                <w:sz w:val="17"/>
              </w:rPr>
              <w:t>14</w:t>
            </w:r>
          </w:p>
        </w:tc>
        <w:tc>
          <w:tcPr>
            <w:tcW w:type="dxa" w:w="4025"/>
          </w:tcPr>
          <w:p>
            <w:pPr>
              <w:spacing w:after="20"/>
            </w:pPr>
            <w:r>
              <w:rPr>
                <w:b w:val="0"/>
                <w:sz w:val="17"/>
              </w:rPr>
              <w:t>Is my insurance policy a good deal?</w:t>
            </w:r>
          </w:p>
        </w:tc>
      </w:tr>
    </w:tbl>
    <w:p>
      <w:pPr>
        <w:spacing w:after="40"/>
      </w:pPr>
    </w:p>
    <w:p>
      <w:r>
        <w:rPr>
          <w:b w:val="0"/>
          <w:i/>
          <w:color w:val="6B675C"/>
          <w:sz w:val="18"/>
        </w:rPr>
        <w:t>Also: CANCEL stops a task, MENU shows the list, and sending the Hindi or English word switches language. Each reply asks one thing at a time and ends with the next step.</w:t>
      </w:r>
    </w:p>
    <w:p>
      <w:pPr>
        <w:pStyle w:val="Heading1"/>
        <w:pageBreakBefore/>
      </w:pPr>
      <w:r>
        <w:t>6. Features for retail and middle-class users</w:t>
      </w:r>
    </w:p>
    <w:p>
      <w:r>
        <w:rPr>
          <w:b w:val="0"/>
        </w:rPr>
        <w:t>People with some savings meet a different problem: too many products, hidden costs and loud advice. The platform gives them clarity, not tips.</w:t>
      </w:r>
    </w:p>
    <w:tbl>
      <w:tblPr>
        <w:tblW w:type="auto" w:w="0"/>
        <w:jc w:val="center"/>
        <w:tblLayout w:type="fixed"/>
        <w:tblLook w:firstColumn="1" w:firstRow="1" w:lastColumn="0" w:lastRow="0" w:noHBand="0" w:noVBand="1" w:val="04A0"/>
        <w:tblBorders>
          <w:top w:val="single" w:sz="4" w:color="D8D0BC"/>
          <w:left w:val="single" w:sz="4" w:color="D8D0BC"/>
          <w:bottom w:val="single" w:sz="4" w:color="D8D0BC"/>
          <w:right w:val="single" w:sz="4" w:color="D8D0BC"/>
          <w:insideH w:val="single" w:sz="4" w:color="D8D0BC"/>
          <w:insideV w:val="single" w:sz="4" w:color="D8D0BC"/>
        </w:tblBorders>
      </w:tblPr>
      <w:tblGrid>
        <w:gridCol w:w="2381"/>
        <w:gridCol w:w="2381"/>
        <w:gridCol w:w="2381"/>
        <w:gridCol w:w="2381"/>
      </w:tblGrid>
      <w:tr>
        <w:tc>
          <w:tcPr>
            <w:tcW w:type="dxa" w:w="1701"/>
            <w:shd w:val="clear" w:color="auto" w:fill="2A2C31"/>
          </w:tcPr>
          <w:p>
            <w:pPr>
              <w:spacing w:after="20"/>
            </w:pPr>
            <w:r>
              <w:rPr>
                <w:b/>
                <w:color w:val="FFFFFF"/>
                <w:sz w:val="16"/>
              </w:rPr>
              <w:t>Feature</w:t>
            </w:r>
          </w:p>
        </w:tc>
        <w:tc>
          <w:tcPr>
            <w:tcW w:type="dxa" w:w="2041"/>
            <w:shd w:val="clear" w:color="auto" w:fill="2A2C31"/>
          </w:tcPr>
          <w:p>
            <w:pPr>
              <w:spacing w:after="20"/>
            </w:pPr>
            <w:r>
              <w:rPr>
                <w:b/>
                <w:color w:val="FFFFFF"/>
                <w:sz w:val="16"/>
              </w:rPr>
              <w:t>Use case</w:t>
            </w:r>
          </w:p>
        </w:tc>
        <w:tc>
          <w:tcPr>
            <w:tcW w:type="dxa" w:w="3572"/>
            <w:shd w:val="clear" w:color="auto" w:fill="2A2C31"/>
          </w:tcPr>
          <w:p>
            <w:pPr>
              <w:spacing w:after="20"/>
            </w:pPr>
            <w:r>
              <w:rPr>
                <w:b/>
                <w:color w:val="FFFFFF"/>
                <w:sz w:val="16"/>
              </w:rPr>
              <w:t>How it works</w:t>
            </w:r>
          </w:p>
        </w:tc>
        <w:tc>
          <w:tcPr>
            <w:tcW w:type="dxa" w:w="2098"/>
            <w:shd w:val="clear" w:color="auto" w:fill="2A2C31"/>
          </w:tcPr>
          <w:p>
            <w:pPr>
              <w:spacing w:after="20"/>
            </w:pPr>
            <w:r>
              <w:rPr>
                <w:b/>
                <w:color w:val="FFFFFF"/>
                <w:sz w:val="16"/>
              </w:rPr>
              <w:t>Benefit</w:t>
            </w:r>
          </w:p>
        </w:tc>
      </w:tr>
      <w:tr>
        <w:tc>
          <w:tcPr>
            <w:tcW w:type="dxa" w:w="1701"/>
          </w:tcPr>
          <w:p>
            <w:pPr>
              <w:spacing w:after="20"/>
            </w:pPr>
            <w:r>
              <w:rPr>
                <w:b w:val="0"/>
                <w:sz w:val="16"/>
              </w:rPr>
              <w:t>Portfolio X-ray</w:t>
            </w:r>
          </w:p>
        </w:tc>
        <w:tc>
          <w:tcPr>
            <w:tcW w:type="dxa" w:w="2041"/>
          </w:tcPr>
          <w:p>
            <w:pPr>
              <w:spacing w:after="20"/>
            </w:pPr>
            <w:r>
              <w:rPr>
                <w:b w:val="0"/>
                <w:sz w:val="16"/>
              </w:rPr>
              <w:t>'Am I in good shape?'</w:t>
            </w:r>
          </w:p>
        </w:tc>
        <w:tc>
          <w:tcPr>
            <w:tcW w:type="dxa" w:w="3572"/>
          </w:tcPr>
          <w:p>
            <w:pPr>
              <w:spacing w:after="20"/>
            </w:pPr>
            <w:r>
              <w:rPr>
                <w:b w:val="0"/>
                <w:sz w:val="16"/>
              </w:rPr>
              <w:t>Grade out of 100 against limits for the investor type; spread, biggest industry, worst fall, market sensitivity; every number clickable to its working</w:t>
            </w:r>
          </w:p>
        </w:tc>
        <w:tc>
          <w:tcPr>
            <w:tcW w:type="dxa" w:w="2098"/>
          </w:tcPr>
          <w:p>
            <w:pPr>
              <w:spacing w:after="20"/>
            </w:pPr>
            <w:r>
              <w:rPr>
                <w:b w:val="0"/>
                <w:sz w:val="16"/>
              </w:rPr>
              <w:t>A plain verdict and where to look next</w:t>
            </w:r>
          </w:p>
        </w:tc>
      </w:tr>
      <w:tr>
        <w:tc>
          <w:tcPr>
            <w:tcW w:type="dxa" w:w="1701"/>
            <w:shd w:val="clear" w:color="auto" w:fill="FAF6EA"/>
          </w:tcPr>
          <w:p>
            <w:pPr>
              <w:spacing w:after="20"/>
            </w:pPr>
            <w:r>
              <w:rPr>
                <w:b w:val="0"/>
                <w:sz w:val="16"/>
              </w:rPr>
              <w:t>Allocation map and chart</w:t>
            </w:r>
          </w:p>
        </w:tc>
        <w:tc>
          <w:tcPr>
            <w:tcW w:type="dxa" w:w="2041"/>
            <w:shd w:val="clear" w:color="auto" w:fill="FAF6EA"/>
          </w:tcPr>
          <w:p>
            <w:pPr>
              <w:spacing w:after="20"/>
            </w:pPr>
            <w:r>
              <w:rPr>
                <w:b w:val="0"/>
                <w:sz w:val="16"/>
              </w:rPr>
              <w:t>See where the money sits</w:t>
            </w:r>
          </w:p>
        </w:tc>
        <w:tc>
          <w:tcPr>
            <w:tcW w:type="dxa" w:w="3572"/>
            <w:shd w:val="clear" w:color="auto" w:fill="FAF6EA"/>
          </w:tcPr>
          <w:p>
            <w:pPr>
              <w:spacing w:after="20"/>
            </w:pPr>
            <w:r>
              <w:rPr>
                <w:b w:val="0"/>
                <w:sz w:val="16"/>
              </w:rPr>
              <w:t>Treemap by industry and company; 'what this basket would have done' versus the index</w:t>
            </w:r>
          </w:p>
        </w:tc>
        <w:tc>
          <w:tcPr>
            <w:tcW w:type="dxa" w:w="2098"/>
            <w:shd w:val="clear" w:color="auto" w:fill="FAF6EA"/>
          </w:tcPr>
          <w:p>
            <w:pPr>
              <w:spacing w:after="20"/>
            </w:pPr>
            <w:r>
              <w:rPr>
                <w:b w:val="0"/>
                <w:sz w:val="16"/>
              </w:rPr>
              <w:t>Spot concentration in seconds</w:t>
            </w:r>
          </w:p>
        </w:tc>
      </w:tr>
      <w:tr>
        <w:tc>
          <w:tcPr>
            <w:tcW w:type="dxa" w:w="1701"/>
          </w:tcPr>
          <w:p>
            <w:pPr>
              <w:spacing w:after="20"/>
            </w:pPr>
            <w:r>
              <w:rPr>
                <w:b w:val="0"/>
                <w:sz w:val="16"/>
              </w:rPr>
              <w:t>Fee drag</w:t>
            </w:r>
          </w:p>
        </w:tc>
        <w:tc>
          <w:tcPr>
            <w:tcW w:type="dxa" w:w="2041"/>
          </w:tcPr>
          <w:p>
            <w:pPr>
              <w:spacing w:after="20"/>
            </w:pPr>
            <w:r>
              <w:rPr>
                <w:b w:val="0"/>
                <w:sz w:val="16"/>
              </w:rPr>
              <w:t>What does a 2% fee cost?</w:t>
            </w:r>
          </w:p>
        </w:tc>
        <w:tc>
          <w:tcPr>
            <w:tcW w:type="dxa" w:w="3572"/>
          </w:tcPr>
          <w:p>
            <w:pPr>
              <w:spacing w:after="20"/>
            </w:pPr>
            <w:r>
              <w:rPr>
                <w:b w:val="0"/>
                <w:sz w:val="16"/>
              </w:rPr>
              <w:t>Lump sum, SIP, years, return and two fees; chart of cheap fund, your fund and no fee</w:t>
            </w:r>
          </w:p>
        </w:tc>
        <w:tc>
          <w:tcPr>
            <w:tcW w:type="dxa" w:w="2098"/>
          </w:tcPr>
          <w:p>
            <w:pPr>
              <w:spacing w:after="20"/>
            </w:pPr>
            <w:r>
              <w:rPr>
                <w:b w:val="0"/>
                <w:sz w:val="16"/>
              </w:rPr>
              <w:t>Makes a small number visible</w:t>
            </w:r>
          </w:p>
        </w:tc>
      </w:tr>
      <w:tr>
        <w:tc>
          <w:tcPr>
            <w:tcW w:type="dxa" w:w="1701"/>
            <w:shd w:val="clear" w:color="auto" w:fill="FAF6EA"/>
          </w:tcPr>
          <w:p>
            <w:pPr>
              <w:spacing w:after="20"/>
            </w:pPr>
            <w:r>
              <w:rPr>
                <w:b w:val="0"/>
                <w:sz w:val="16"/>
              </w:rPr>
              <w:t>Fund overlap</w:t>
            </w:r>
          </w:p>
        </w:tc>
        <w:tc>
          <w:tcPr>
            <w:tcW w:type="dxa" w:w="2041"/>
            <w:shd w:val="clear" w:color="auto" w:fill="FAF6EA"/>
          </w:tcPr>
          <w:p>
            <w:pPr>
              <w:spacing w:after="20"/>
            </w:pPr>
            <w:r>
              <w:rPr>
                <w:b w:val="0"/>
                <w:sz w:val="16"/>
              </w:rPr>
              <w:t>Do my funds hold the same stocks?</w:t>
            </w:r>
          </w:p>
        </w:tc>
        <w:tc>
          <w:tcPr>
            <w:tcW w:type="dxa" w:w="3572"/>
            <w:shd w:val="clear" w:color="auto" w:fill="FAF6EA"/>
          </w:tcPr>
          <w:p>
            <w:pPr>
              <w:spacing w:after="20"/>
            </w:pPr>
            <w:r>
              <w:rPr>
                <w:b w:val="0"/>
                <w:sz w:val="16"/>
              </w:rPr>
              <w:t>Pick two funds; shared holdings light up; overlap percentage</w:t>
            </w:r>
          </w:p>
        </w:tc>
        <w:tc>
          <w:tcPr>
            <w:tcW w:type="dxa" w:w="2098"/>
            <w:shd w:val="clear" w:color="auto" w:fill="FAF6EA"/>
          </w:tcPr>
          <w:p>
            <w:pPr>
              <w:spacing w:after="20"/>
            </w:pPr>
            <w:r>
              <w:rPr>
                <w:b w:val="0"/>
                <w:sz w:val="16"/>
              </w:rPr>
              <w:t>Avoids paying twice</w:t>
            </w:r>
          </w:p>
        </w:tc>
      </w:tr>
      <w:tr>
        <w:tc>
          <w:tcPr>
            <w:tcW w:type="dxa" w:w="1701"/>
          </w:tcPr>
          <w:p>
            <w:pPr>
              <w:spacing w:after="20"/>
            </w:pPr>
            <w:r>
              <w:rPr>
                <w:b w:val="0"/>
                <w:sz w:val="16"/>
              </w:rPr>
              <w:t>Emergency meter</w:t>
            </w:r>
          </w:p>
        </w:tc>
        <w:tc>
          <w:tcPr>
            <w:tcW w:type="dxa" w:w="2041"/>
          </w:tcPr>
          <w:p>
            <w:pPr>
              <w:spacing w:after="20"/>
            </w:pPr>
            <w:r>
              <w:rPr>
                <w:b w:val="0"/>
                <w:sz w:val="16"/>
              </w:rPr>
              <w:t>How many months would I last?</w:t>
            </w:r>
          </w:p>
        </w:tc>
        <w:tc>
          <w:tcPr>
            <w:tcW w:type="dxa" w:w="3572"/>
          </w:tcPr>
          <w:p>
            <w:pPr>
              <w:spacing w:after="20"/>
            </w:pPr>
            <w:r>
              <w:rPr>
                <w:b w:val="0"/>
                <w:sz w:val="16"/>
              </w:rPr>
              <w:t>Cash, spending, continuing income; ring against a six-month target</w:t>
            </w:r>
          </w:p>
        </w:tc>
        <w:tc>
          <w:tcPr>
            <w:tcW w:type="dxa" w:w="2098"/>
          </w:tcPr>
          <w:p>
            <w:pPr>
              <w:spacing w:after="20"/>
            </w:pPr>
            <w:r>
              <w:rPr>
                <w:b w:val="0"/>
                <w:sz w:val="16"/>
              </w:rPr>
              <w:t>A concrete safety number</w:t>
            </w:r>
          </w:p>
        </w:tc>
      </w:tr>
      <w:tr>
        <w:tc>
          <w:tcPr>
            <w:tcW w:type="dxa" w:w="1701"/>
            <w:shd w:val="clear" w:color="auto" w:fill="FAF6EA"/>
          </w:tcPr>
          <w:p>
            <w:pPr>
              <w:spacing w:after="20"/>
            </w:pPr>
            <w:r>
              <w:rPr>
                <w:b w:val="0"/>
                <w:sz w:val="16"/>
              </w:rPr>
              <w:t>Tax shield</w:t>
            </w:r>
          </w:p>
        </w:tc>
        <w:tc>
          <w:tcPr>
            <w:tcW w:type="dxa" w:w="2041"/>
            <w:shd w:val="clear" w:color="auto" w:fill="FAF6EA"/>
          </w:tcPr>
          <w:p>
            <w:pPr>
              <w:spacing w:after="20"/>
            </w:pPr>
            <w:r>
              <w:rPr>
                <w:b w:val="0"/>
                <w:sz w:val="16"/>
              </w:rPr>
              <w:t>What does selling today cost in tax?</w:t>
            </w:r>
          </w:p>
        </w:tc>
        <w:tc>
          <w:tcPr>
            <w:tcW w:type="dxa" w:w="3572"/>
            <w:shd w:val="clear" w:color="auto" w:fill="FAF6EA"/>
          </w:tcPr>
          <w:p>
            <w:pPr>
              <w:spacing w:after="20"/>
            </w:pPr>
            <w:r>
              <w:rPr>
                <w:b w:val="0"/>
                <w:sz w:val="16"/>
              </w:rPr>
              <w:t>Per holding: days held, gain, tax now, days to the one-year mark</w:t>
            </w:r>
          </w:p>
        </w:tc>
        <w:tc>
          <w:tcPr>
            <w:tcW w:type="dxa" w:w="2098"/>
            <w:shd w:val="clear" w:color="auto" w:fill="FAF6EA"/>
          </w:tcPr>
          <w:p>
            <w:pPr>
              <w:spacing w:after="20"/>
            </w:pPr>
            <w:r>
              <w:rPr>
                <w:b w:val="0"/>
                <w:sz w:val="16"/>
              </w:rPr>
              <w:t>Better timing, never guessed cost</w:t>
            </w:r>
          </w:p>
        </w:tc>
      </w:tr>
      <w:tr>
        <w:tc>
          <w:tcPr>
            <w:tcW w:type="dxa" w:w="1701"/>
          </w:tcPr>
          <w:p>
            <w:pPr>
              <w:spacing w:after="20"/>
            </w:pPr>
            <w:r>
              <w:rPr>
                <w:b w:val="0"/>
                <w:sz w:val="16"/>
              </w:rPr>
              <w:t>Panic-sell replay</w:t>
            </w:r>
          </w:p>
        </w:tc>
        <w:tc>
          <w:tcPr>
            <w:tcW w:type="dxa" w:w="2041"/>
          </w:tcPr>
          <w:p>
            <w:pPr>
              <w:spacing w:after="20"/>
            </w:pPr>
            <w:r>
              <w:rPr>
                <w:b w:val="0"/>
                <w:sz w:val="16"/>
              </w:rPr>
              <w:t>What if I had sold in the crash?</w:t>
            </w:r>
          </w:p>
        </w:tc>
        <w:tc>
          <w:tcPr>
            <w:tcW w:type="dxa" w:w="3572"/>
          </w:tcPr>
          <w:p>
            <w:pPr>
              <w:spacing w:after="20"/>
            </w:pPr>
            <w:r>
              <w:rPr>
                <w:b w:val="0"/>
                <w:sz w:val="16"/>
              </w:rPr>
              <w:t>Real crash prices applied to the person's holdings</w:t>
            </w:r>
          </w:p>
        </w:tc>
        <w:tc>
          <w:tcPr>
            <w:tcW w:type="dxa" w:w="2098"/>
          </w:tcPr>
          <w:p>
            <w:pPr>
              <w:spacing w:after="20"/>
            </w:pPr>
            <w:r>
              <w:rPr>
                <w:b w:val="0"/>
                <w:sz w:val="16"/>
              </w:rPr>
              <w:t>Behaviour change</w:t>
            </w:r>
          </w:p>
        </w:tc>
      </w:tr>
      <w:tr>
        <w:tc>
          <w:tcPr>
            <w:tcW w:type="dxa" w:w="1701"/>
            <w:shd w:val="clear" w:color="auto" w:fill="FAF6EA"/>
          </w:tcPr>
          <w:p>
            <w:pPr>
              <w:spacing w:after="20"/>
            </w:pPr>
            <w:r>
              <w:rPr>
                <w:b w:val="0"/>
                <w:sz w:val="16"/>
              </w:rPr>
              <w:t>Research desk</w:t>
            </w:r>
          </w:p>
        </w:tc>
        <w:tc>
          <w:tcPr>
            <w:tcW w:type="dxa" w:w="2041"/>
            <w:shd w:val="clear" w:color="auto" w:fill="FAF6EA"/>
          </w:tcPr>
          <w:p>
            <w:pPr>
              <w:spacing w:after="20"/>
            </w:pPr>
            <w:r>
              <w:rPr>
                <w:b w:val="0"/>
                <w:sz w:val="16"/>
              </w:rPr>
              <w:t>Is this company sound?</w:t>
            </w:r>
          </w:p>
        </w:tc>
        <w:tc>
          <w:tcPr>
            <w:tcW w:type="dxa" w:w="3572"/>
            <w:shd w:val="clear" w:color="auto" w:fill="FAF6EA"/>
          </w:tcPr>
          <w:p>
            <w:pPr>
              <w:spacing w:after="20"/>
            </w:pPr>
            <w:r>
              <w:rPr>
                <w:b w:val="0"/>
                <w:sz w:val="16"/>
              </w:rPr>
              <w:t>Four analysts and a sceptic study it; claims must cite evidence; plain-words summary</w:t>
            </w:r>
          </w:p>
        </w:tc>
        <w:tc>
          <w:tcPr>
            <w:tcW w:type="dxa" w:w="2098"/>
            <w:shd w:val="clear" w:color="auto" w:fill="FAF6EA"/>
          </w:tcPr>
          <w:p>
            <w:pPr>
              <w:spacing w:after="20"/>
            </w:pPr>
            <w:r>
              <w:rPr>
                <w:b w:val="0"/>
                <w:sz w:val="16"/>
              </w:rPr>
              <w:t>Fundamentals, not just price</w:t>
            </w:r>
          </w:p>
        </w:tc>
      </w:tr>
      <w:tr>
        <w:tc>
          <w:tcPr>
            <w:tcW w:type="dxa" w:w="1701"/>
          </w:tcPr>
          <w:p>
            <w:pPr>
              <w:spacing w:after="20"/>
            </w:pPr>
            <w:r>
              <w:rPr>
                <w:b w:val="0"/>
                <w:sz w:val="16"/>
              </w:rPr>
              <w:t>Weekly digest</w:t>
            </w:r>
          </w:p>
        </w:tc>
        <w:tc>
          <w:tcPr>
            <w:tcW w:type="dxa" w:w="2041"/>
          </w:tcPr>
          <w:p>
            <w:pPr>
              <w:spacing w:after="20"/>
            </w:pPr>
            <w:r>
              <w:rPr>
                <w:b w:val="0"/>
                <w:sz w:val="16"/>
              </w:rPr>
              <w:t>One-minute update</w:t>
            </w:r>
          </w:p>
        </w:tc>
        <w:tc>
          <w:tcPr>
            <w:tcW w:type="dxa" w:w="3572"/>
          </w:tcPr>
          <w:p>
            <w:pPr>
              <w:spacing w:after="20"/>
            </w:pPr>
            <w:r>
              <w:rPr>
                <w:b w:val="0"/>
                <w:sz w:val="16"/>
              </w:rPr>
              <w:t>Spoken summary built from the person's data</w:t>
            </w:r>
          </w:p>
        </w:tc>
        <w:tc>
          <w:tcPr>
            <w:tcW w:type="dxa" w:w="2098"/>
          </w:tcPr>
          <w:p>
            <w:pPr>
              <w:spacing w:after="20"/>
            </w:pPr>
            <w:r>
              <w:rPr>
                <w:b w:val="0"/>
                <w:sz w:val="16"/>
              </w:rPr>
              <w:t>Habit without effort</w:t>
            </w:r>
          </w:p>
        </w:tc>
      </w:tr>
      <w:tr>
        <w:tc>
          <w:tcPr>
            <w:tcW w:type="dxa" w:w="1701"/>
            <w:shd w:val="clear" w:color="auto" w:fill="FAF6EA"/>
          </w:tcPr>
          <w:p>
            <w:pPr>
              <w:spacing w:after="20"/>
            </w:pPr>
            <w:r>
              <w:rPr>
                <w:b w:val="0"/>
                <w:sz w:val="16"/>
              </w:rPr>
              <w:t>Concept answers</w:t>
            </w:r>
          </w:p>
        </w:tc>
        <w:tc>
          <w:tcPr>
            <w:tcW w:type="dxa" w:w="2041"/>
            <w:shd w:val="clear" w:color="auto" w:fill="FAF6EA"/>
          </w:tcPr>
          <w:p>
            <w:pPr>
              <w:spacing w:after="20"/>
            </w:pPr>
            <w:r>
              <w:rPr>
                <w:b w:val="0"/>
                <w:sz w:val="16"/>
              </w:rPr>
              <w:t>SIP vs lump sum, tax, gold, EMI...</w:t>
            </w:r>
          </w:p>
        </w:tc>
        <w:tc>
          <w:tcPr>
            <w:tcW w:type="dxa" w:w="3572"/>
            <w:shd w:val="clear" w:color="auto" w:fill="FAF6EA"/>
          </w:tcPr>
          <w:p>
            <w:pPr>
              <w:spacing w:after="20"/>
            </w:pPr>
            <w:r>
              <w:rPr>
                <w:b w:val="0"/>
                <w:sz w:val="16"/>
              </w:rPr>
              <w:t>32 checked explanations in English and Hindi with tables</w:t>
            </w:r>
          </w:p>
        </w:tc>
        <w:tc>
          <w:tcPr>
            <w:tcW w:type="dxa" w:w="2098"/>
            <w:shd w:val="clear" w:color="auto" w:fill="FAF6EA"/>
          </w:tcPr>
          <w:p>
            <w:pPr>
              <w:spacing w:after="20"/>
            </w:pPr>
            <w:r>
              <w:rPr>
                <w:b w:val="0"/>
                <w:sz w:val="16"/>
              </w:rPr>
              <w:t>Learning in context</w:t>
            </w:r>
          </w:p>
        </w:tc>
      </w:tr>
    </w:tbl>
    <w:p>
      <w:pPr>
        <w:spacing w:after="40"/>
      </w:pPr>
    </w:p>
    <w:p>
      <w:pPr>
        <w:pStyle w:val="Heading2"/>
      </w:pPr>
      <w:r>
        <w:t>The plain-words research summary</w:t>
      </w:r>
    </w:p>
    <w:p>
      <w:r>
        <w:rPr>
          <w:b w:val="0"/>
        </w:rPr>
        <w:t>The Research page is where the platform goes beyond price and chart. For any listed company it reads growth, cash conversion and free cash flow, debt and interest cover, liquidity, dividends, two standard financial-health scores, the company's own past valuation range, growth-adjusted valuation, peer rank on five measures, and ownership. It also reads trend, momentum, volume and relative strength, capped so one price fact is not counted four times. Each line carries a basis and a confidence mark, and the page shows how current each kind of data is.</w:t>
      </w:r>
    </w:p>
    <w:p>
      <w:pPr>
        <w:keepNext/>
        <w:spacing w:after="40"/>
        <w:jc w:val="center"/>
      </w:pPr>
      <w:r>
        <w:drawing>
          <wp:inline xmlns:a="http://schemas.openxmlformats.org/drawingml/2006/main" xmlns:pic="http://schemas.openxmlformats.org/drawingml/2006/picture">
            <wp:extent cx="5472000" cy="3078000"/>
            <wp:docPr id="6" name="Picture 6"/>
            <wp:cNvGraphicFramePr>
              <a:graphicFrameLocks noChangeAspect="1"/>
            </wp:cNvGraphicFramePr>
            <a:graphic>
              <a:graphicData uri="http://schemas.openxmlformats.org/drawingml/2006/picture">
                <pic:pic>
                  <pic:nvPicPr>
                    <pic:cNvPr id="0" name="ui_stock.jpg"/>
                    <pic:cNvPicPr/>
                  </pic:nvPicPr>
                  <pic:blipFill>
                    <a:blip r:embed="rId15"/>
                    <a:stretch>
                      <a:fillRect/>
                    </a:stretch>
                  </pic:blipFill>
                  <pic:spPr>
                    <a:xfrm>
                      <a:off x="0" y="0"/>
                      <a:ext cx="5472000" cy="3078000"/>
                    </a:xfrm>
                    <a:prstGeom prst="rect"/>
                  </pic:spPr>
                </pic:pic>
              </a:graphicData>
            </a:graphic>
          </wp:inline>
        </w:drawing>
      </w:r>
    </w:p>
    <w:p>
      <w:pPr>
        <w:spacing w:after="160"/>
        <w:jc w:val="center"/>
      </w:pPr>
      <w:r>
        <w:rPr>
          <w:b w:val="0"/>
          <w:i/>
          <w:color w:val="6B675C"/>
          <w:sz w:val="17"/>
        </w:rPr>
        <w:t>Figure 6. A company answer in the chat: key figures, a live chart, good points and watch-outs with confidence marks.</w:t>
      </w:r>
    </w:p>
    <w:p>
      <w:pPr>
        <w:pStyle w:val="Heading1"/>
        <w:pageBreakBefore/>
      </w:pPr>
      <w:r>
        <w:t>7. Features for affluent users and advisers</w:t>
      </w:r>
    </w:p>
    <w:p>
      <w:r>
        <w:rPr>
          <w:b w:val="0"/>
        </w:rPr>
        <w:t>The smallest group, the 5%, is served by the same engine, with the parts that matter most to people who manage larger or more complex portfolios.</w:t>
      </w:r>
    </w:p>
    <w:tbl>
      <w:tblPr>
        <w:tblW w:type="auto" w:w="0"/>
        <w:jc w:val="center"/>
        <w:tblLayout w:type="fixed"/>
        <w:tblLook w:firstColumn="1" w:firstRow="1" w:lastColumn="0" w:lastRow="0" w:noHBand="0" w:noVBand="1" w:val="04A0"/>
        <w:tblBorders>
          <w:top w:val="single" w:sz="4" w:color="D8D0BC"/>
          <w:left w:val="single" w:sz="4" w:color="D8D0BC"/>
          <w:bottom w:val="single" w:sz="4" w:color="D8D0BC"/>
          <w:right w:val="single" w:sz="4" w:color="D8D0BC"/>
          <w:insideH w:val="single" w:sz="4" w:color="D8D0BC"/>
          <w:insideV w:val="single" w:sz="4" w:color="D8D0BC"/>
        </w:tblBorders>
      </w:tblPr>
      <w:tblGrid>
        <w:gridCol w:w="3175"/>
        <w:gridCol w:w="3175"/>
        <w:gridCol w:w="3175"/>
      </w:tblGrid>
      <w:tr>
        <w:tc>
          <w:tcPr>
            <w:tcW w:type="dxa" w:w="2041"/>
            <w:shd w:val="clear" w:color="auto" w:fill="2A2C31"/>
          </w:tcPr>
          <w:p>
            <w:pPr>
              <w:spacing w:after="20"/>
            </w:pPr>
            <w:r>
              <w:rPr>
                <w:b/>
                <w:color w:val="FFFFFF"/>
                <w:sz w:val="17"/>
              </w:rPr>
              <w:t>Feature</w:t>
            </w:r>
          </w:p>
        </w:tc>
        <w:tc>
          <w:tcPr>
            <w:tcW w:type="dxa" w:w="4082"/>
            <w:shd w:val="clear" w:color="auto" w:fill="2A2C31"/>
          </w:tcPr>
          <w:p>
            <w:pPr>
              <w:spacing w:after="20"/>
            </w:pPr>
            <w:r>
              <w:rPr>
                <w:b/>
                <w:color w:val="FFFFFF"/>
                <w:sz w:val="17"/>
              </w:rPr>
              <w:t>What it does</w:t>
            </w:r>
          </w:p>
        </w:tc>
        <w:tc>
          <w:tcPr>
            <w:tcW w:type="dxa" w:w="3288"/>
            <w:shd w:val="clear" w:color="auto" w:fill="2A2C31"/>
          </w:tcPr>
          <w:p>
            <w:pPr>
              <w:spacing w:after="20"/>
            </w:pPr>
            <w:r>
              <w:rPr>
                <w:b/>
                <w:color w:val="FFFFFF"/>
                <w:sz w:val="17"/>
              </w:rPr>
              <w:t>Why it matters</w:t>
            </w:r>
          </w:p>
        </w:tc>
      </w:tr>
      <w:tr>
        <w:tc>
          <w:tcPr>
            <w:tcW w:type="dxa" w:w="2041"/>
          </w:tcPr>
          <w:p>
            <w:pPr>
              <w:spacing w:after="20"/>
            </w:pPr>
            <w:r>
              <w:rPr>
                <w:b w:val="0"/>
                <w:sz w:val="17"/>
              </w:rPr>
              <w:t>Risk firewall</w:t>
            </w:r>
          </w:p>
        </w:tc>
        <w:tc>
          <w:tcPr>
            <w:tcW w:type="dxa" w:w="4082"/>
          </w:tcPr>
          <w:p>
            <w:pPr>
              <w:spacing w:after="20"/>
            </w:pPr>
            <w:r>
              <w:rPr>
                <w:b w:val="0"/>
                <w:sz w:val="17"/>
              </w:rPr>
              <w:t>Checks any trade against per-stock, per-industry and cash limits using plain arithmetic; offers the largest compliant size</w:t>
            </w:r>
          </w:p>
        </w:tc>
        <w:tc>
          <w:tcPr>
            <w:tcW w:type="dxa" w:w="3288"/>
          </w:tcPr>
          <w:p>
            <w:pPr>
              <w:spacing w:after="20"/>
            </w:pPr>
            <w:r>
              <w:rPr>
                <w:b w:val="0"/>
                <w:sz w:val="17"/>
              </w:rPr>
              <w:t>No analyst, model or button can talk it into a bad order</w:t>
            </w:r>
          </w:p>
        </w:tc>
      </w:tr>
      <w:tr>
        <w:tc>
          <w:tcPr>
            <w:tcW w:type="dxa" w:w="2041"/>
            <w:shd w:val="clear" w:color="auto" w:fill="FAF6EA"/>
          </w:tcPr>
          <w:p>
            <w:pPr>
              <w:spacing w:after="20"/>
            </w:pPr>
            <w:r>
              <w:rPr>
                <w:b w:val="0"/>
                <w:sz w:val="17"/>
              </w:rPr>
              <w:t>Hash-chained audit record</w:t>
            </w:r>
          </w:p>
        </w:tc>
        <w:tc>
          <w:tcPr>
            <w:tcW w:type="dxa" w:w="4082"/>
            <w:shd w:val="clear" w:color="auto" w:fill="FAF6EA"/>
          </w:tcPr>
          <w:p>
            <w:pPr>
              <w:spacing w:after="20"/>
            </w:pPr>
            <w:r>
              <w:rPr>
                <w:b w:val="0"/>
                <w:sz w:val="17"/>
              </w:rPr>
              <w:t>Every decision, approved or blocked, is written to a chain where each row carries a fingerprint of the previous one</w:t>
            </w:r>
          </w:p>
        </w:tc>
        <w:tc>
          <w:tcPr>
            <w:tcW w:type="dxa" w:w="3288"/>
            <w:shd w:val="clear" w:color="auto" w:fill="FAF6EA"/>
          </w:tcPr>
          <w:p>
            <w:pPr>
              <w:spacing w:after="20"/>
            </w:pPr>
            <w:r>
              <w:rPr>
                <w:b w:val="0"/>
                <w:sz w:val="17"/>
              </w:rPr>
              <w:t>A quiet edit breaks the chain and is caught; useful for advisers and family offices</w:t>
            </w:r>
          </w:p>
        </w:tc>
      </w:tr>
      <w:tr>
        <w:tc>
          <w:tcPr>
            <w:tcW w:type="dxa" w:w="2041"/>
          </w:tcPr>
          <w:p>
            <w:pPr>
              <w:spacing w:after="20"/>
            </w:pPr>
            <w:r>
              <w:rPr>
                <w:b w:val="0"/>
                <w:sz w:val="17"/>
              </w:rPr>
              <w:t>Tamper test</w:t>
            </w:r>
          </w:p>
        </w:tc>
        <w:tc>
          <w:tcPr>
            <w:tcW w:type="dxa" w:w="4082"/>
          </w:tcPr>
          <w:p>
            <w:pPr>
              <w:spacing w:after="20"/>
            </w:pPr>
            <w:r>
              <w:rPr>
                <w:b w:val="0"/>
                <w:sz w:val="17"/>
              </w:rPr>
              <w:t>Edits one old entry in a copy and shows the chain pointing to it</w:t>
            </w:r>
          </w:p>
        </w:tc>
        <w:tc>
          <w:tcPr>
            <w:tcW w:type="dxa" w:w="3288"/>
          </w:tcPr>
          <w:p>
            <w:pPr>
              <w:spacing w:after="20"/>
            </w:pPr>
            <w:r>
              <w:rPr>
                <w:b w:val="0"/>
                <w:sz w:val="17"/>
              </w:rPr>
              <w:t>Proves the record to a sceptical reader</w:t>
            </w:r>
          </w:p>
        </w:tc>
      </w:tr>
      <w:tr>
        <w:tc>
          <w:tcPr>
            <w:tcW w:type="dxa" w:w="2041"/>
            <w:shd w:val="clear" w:color="auto" w:fill="FAF6EA"/>
          </w:tcPr>
          <w:p>
            <w:pPr>
              <w:spacing w:after="20"/>
            </w:pPr>
            <w:r>
              <w:rPr>
                <w:b w:val="0"/>
                <w:sz w:val="17"/>
              </w:rPr>
              <w:t>Rebalance simulator</w:t>
            </w:r>
          </w:p>
        </w:tc>
        <w:tc>
          <w:tcPr>
            <w:tcW w:type="dxa" w:w="4082"/>
            <w:shd w:val="clear" w:color="auto" w:fill="FAF6EA"/>
          </w:tcPr>
          <w:p>
            <w:pPr>
              <w:spacing w:after="20"/>
            </w:pPr>
            <w:r>
              <w:rPr>
                <w:b w:val="0"/>
                <w:sz w:val="17"/>
              </w:rPr>
              <w:t>Builds the smallest set of trades that restores limits; 'only sell' option</w:t>
            </w:r>
          </w:p>
        </w:tc>
        <w:tc>
          <w:tcPr>
            <w:tcW w:type="dxa" w:w="3288"/>
            <w:shd w:val="clear" w:color="auto" w:fill="FAF6EA"/>
          </w:tcPr>
          <w:p>
            <w:pPr>
              <w:spacing w:after="20"/>
            </w:pPr>
            <w:r>
              <w:rPr>
                <w:b w:val="0"/>
                <w:sz w:val="17"/>
              </w:rPr>
              <w:t>Fixes a breach with minimum turnover</w:t>
            </w:r>
          </w:p>
        </w:tc>
      </w:tr>
      <w:tr>
        <w:tc>
          <w:tcPr>
            <w:tcW w:type="dxa" w:w="2041"/>
          </w:tcPr>
          <w:p>
            <w:pPr>
              <w:spacing w:after="20"/>
            </w:pPr>
            <w:r>
              <w:rPr>
                <w:b w:val="0"/>
                <w:sz w:val="17"/>
              </w:rPr>
              <w:t>Attribution</w:t>
            </w:r>
          </w:p>
        </w:tc>
        <w:tc>
          <w:tcPr>
            <w:tcW w:type="dxa" w:w="4082"/>
          </w:tcPr>
          <w:p>
            <w:pPr>
              <w:spacing w:after="20"/>
            </w:pPr>
            <w:r>
              <w:rPr>
                <w:b w:val="0"/>
                <w:sz w:val="17"/>
              </w:rPr>
              <w:t>Splits a move into per-holding and per-sector contributions and allocation versus selection effect</w:t>
            </w:r>
          </w:p>
        </w:tc>
        <w:tc>
          <w:tcPr>
            <w:tcW w:type="dxa" w:w="3288"/>
          </w:tcPr>
          <w:p>
            <w:pPr>
              <w:spacing w:after="20"/>
            </w:pPr>
            <w:r>
              <w:rPr>
                <w:b w:val="0"/>
                <w:sz w:val="17"/>
              </w:rPr>
              <w:t>Answers 'where did the return come from?'</w:t>
            </w:r>
          </w:p>
        </w:tc>
      </w:tr>
      <w:tr>
        <w:tc>
          <w:tcPr>
            <w:tcW w:type="dxa" w:w="2041"/>
            <w:shd w:val="clear" w:color="auto" w:fill="FAF6EA"/>
          </w:tcPr>
          <w:p>
            <w:pPr>
              <w:spacing w:after="20"/>
            </w:pPr>
            <w:r>
              <w:rPr>
                <w:b w:val="0"/>
                <w:sz w:val="17"/>
              </w:rPr>
              <w:t>Time machine</w:t>
            </w:r>
          </w:p>
        </w:tc>
        <w:tc>
          <w:tcPr>
            <w:tcW w:type="dxa" w:w="4082"/>
            <w:shd w:val="clear" w:color="auto" w:fill="FAF6EA"/>
          </w:tcPr>
          <w:p>
            <w:pPr>
              <w:spacing w:after="20"/>
            </w:pPr>
            <w:r>
              <w:rPr>
                <w:b w:val="0"/>
                <w:sz w:val="17"/>
              </w:rPr>
              <w:t>Rewinds the clock so analysts only see what was known on that day</w:t>
            </w:r>
          </w:p>
        </w:tc>
        <w:tc>
          <w:tcPr>
            <w:tcW w:type="dxa" w:w="3288"/>
            <w:shd w:val="clear" w:color="auto" w:fill="FAF6EA"/>
          </w:tcPr>
          <w:p>
            <w:pPr>
              <w:spacing w:after="20"/>
            </w:pPr>
            <w:r>
              <w:rPr>
                <w:b w:val="0"/>
                <w:sz w:val="17"/>
              </w:rPr>
              <w:t>Tests whether an analysis would have helped, without hindsight</w:t>
            </w:r>
          </w:p>
        </w:tc>
      </w:tr>
      <w:tr>
        <w:tc>
          <w:tcPr>
            <w:tcW w:type="dxa" w:w="2041"/>
          </w:tcPr>
          <w:p>
            <w:pPr>
              <w:spacing w:after="20"/>
            </w:pPr>
            <w:r>
              <w:rPr>
                <w:b w:val="0"/>
                <w:sz w:val="17"/>
              </w:rPr>
              <w:t>Multiple portfolios and reports</w:t>
            </w:r>
          </w:p>
        </w:tc>
        <w:tc>
          <w:tcPr>
            <w:tcW w:type="dxa" w:w="4082"/>
          </w:tcPr>
          <w:p>
            <w:pPr>
              <w:spacing w:after="20"/>
            </w:pPr>
            <w:r>
              <w:rPr>
                <w:b w:val="0"/>
                <w:sz w:val="17"/>
              </w:rPr>
              <w:t>Preset or pasted portfolios; printable report</w:t>
            </w:r>
          </w:p>
        </w:tc>
        <w:tc>
          <w:tcPr>
            <w:tcW w:type="dxa" w:w="3288"/>
          </w:tcPr>
          <w:p>
            <w:pPr>
              <w:spacing w:after="20"/>
            </w:pPr>
            <w:r>
              <w:rPr>
                <w:b w:val="0"/>
                <w:sz w:val="17"/>
              </w:rPr>
              <w:t>Family and client views</w:t>
            </w:r>
          </w:p>
        </w:tc>
      </w:tr>
      <w:tr>
        <w:tc>
          <w:tcPr>
            <w:tcW w:type="dxa" w:w="2041"/>
            <w:shd w:val="clear" w:color="auto" w:fill="FAF6EA"/>
          </w:tcPr>
          <w:p>
            <w:pPr>
              <w:spacing w:after="20"/>
            </w:pPr>
            <w:r>
              <w:rPr>
                <w:b w:val="0"/>
                <w:sz w:val="17"/>
              </w:rPr>
              <w:t>Calibration</w:t>
            </w:r>
          </w:p>
        </w:tc>
        <w:tc>
          <w:tcPr>
            <w:tcW w:type="dxa" w:w="4082"/>
            <w:shd w:val="clear" w:color="auto" w:fill="FAF6EA"/>
          </w:tcPr>
          <w:p>
            <w:pPr>
              <w:spacing w:after="20"/>
            </w:pPr>
            <w:r>
              <w:rPr>
                <w:b w:val="0"/>
                <w:sz w:val="17"/>
              </w:rPr>
              <w:t>Scores each analyst desk against realised returns (hit rate, Brier score)</w:t>
            </w:r>
          </w:p>
        </w:tc>
        <w:tc>
          <w:tcPr>
            <w:tcW w:type="dxa" w:w="3288"/>
            <w:shd w:val="clear" w:color="auto" w:fill="FAF6EA"/>
          </w:tcPr>
          <w:p>
            <w:pPr>
              <w:spacing w:after="20"/>
            </w:pPr>
            <w:r>
              <w:rPr>
                <w:b w:val="0"/>
                <w:sz w:val="17"/>
              </w:rPr>
              <w:t>Shows which desks are worse than a coin flip</w:t>
            </w:r>
          </w:p>
        </w:tc>
      </w:tr>
    </w:tbl>
    <w:p>
      <w:pPr>
        <w:spacing w:after="40"/>
      </w:pPr>
    </w:p>
    <w:p>
      <w:pPr>
        <w:keepNext/>
        <w:spacing w:after="40"/>
        <w:jc w:val="center"/>
      </w:pPr>
      <w:r>
        <w:drawing>
          <wp:inline xmlns:a="http://schemas.openxmlformats.org/drawingml/2006/main" xmlns:pic="http://schemas.openxmlformats.org/drawingml/2006/picture">
            <wp:extent cx="5220000" cy="2936250"/>
            <wp:docPr id="7" name="Picture 7"/>
            <wp:cNvGraphicFramePr>
              <a:graphicFrameLocks noChangeAspect="1"/>
            </wp:cNvGraphicFramePr>
            <a:graphic>
              <a:graphicData uri="http://schemas.openxmlformats.org/drawingml/2006/picture">
                <pic:pic>
                  <pic:nvPicPr>
                    <pic:cNvPr id="0" name="ui_tour.jpg"/>
                    <pic:cNvPicPr/>
                  </pic:nvPicPr>
                  <pic:blipFill>
                    <a:blip r:embed="rId16"/>
                    <a:stretch>
                      <a:fillRect/>
                    </a:stretch>
                  </pic:blipFill>
                  <pic:spPr>
                    <a:xfrm>
                      <a:off x="0" y="0"/>
                      <a:ext cx="5220000" cy="2936250"/>
                    </a:xfrm>
                    <a:prstGeom prst="rect"/>
                  </pic:spPr>
                </pic:pic>
              </a:graphicData>
            </a:graphic>
          </wp:inline>
        </w:drawing>
      </w:r>
    </w:p>
    <w:p>
      <w:pPr>
        <w:spacing w:after="160"/>
        <w:jc w:val="center"/>
      </w:pPr>
      <w:r>
        <w:rPr>
          <w:b w:val="0"/>
          <w:i/>
          <w:color w:val="6B675C"/>
          <w:sz w:val="17"/>
        </w:rPr>
        <w:t>Figure 7. A guided tour on the Govern page: the spotlight shows the part being explained and the caption is read aloud.</w:t>
      </w:r>
    </w:p>
    <w:p>
      <w:pPr>
        <w:pStyle w:val="Heading1"/>
        <w:pageBreakBefore/>
      </w:pPr>
      <w:r>
        <w:t>8. Shared foundations</w:t>
      </w:r>
    </w:p>
    <w:p>
      <w:pPr>
        <w:pStyle w:val="Heading2"/>
      </w:pPr>
      <w:r>
        <w:t>Understanding the whole question</w:t>
      </w:r>
    </w:p>
    <w:p>
      <w:r>
        <w:rPr>
          <w:b w:val="0"/>
        </w:rPr>
        <w:t>Earlier assistants matched a keyword: any message with 'scam' got the same scam reply. The understanding layer reads the whole sentence first. It separates questions about the app, requests about companies, general money questions and personal calculations, and only then picks the tool. A local model, if used, can only choose from a fixed list; it writes nothing.</w:t>
      </w:r>
    </w:p>
    <w:p>
      <w:pPr>
        <w:pStyle w:val="Heading2"/>
      </w:pPr>
      <w:r>
        <w:t>Guided tours</w:t>
      </w:r>
    </w:p>
    <w:p>
      <w:r>
        <w:rPr>
          <w:b w:val="0"/>
        </w:rPr>
        <w:t>Twenty-five tours cover every area. Ask 'help me understand this feature' and the platform opens the page you are on, presses the tab, spotlights each part in turn and reads the caption in your language, with Back, Next, Auto and Esc controls. The tour is the same content as the text answer, so what is shown and what is said never disagree.</w:t>
      </w:r>
    </w:p>
    <w:p>
      <w:pPr>
        <w:keepNext/>
        <w:spacing w:after="40"/>
        <w:jc w:val="center"/>
      </w:pPr>
      <w:r>
        <w:drawing>
          <wp:inline xmlns:a="http://schemas.openxmlformats.org/drawingml/2006/main" xmlns:pic="http://schemas.openxmlformats.org/drawingml/2006/picture">
            <wp:extent cx="5220000" cy="2936250"/>
            <wp:docPr id="8" name="Picture 8"/>
            <wp:cNvGraphicFramePr>
              <a:graphicFrameLocks noChangeAspect="1"/>
            </wp:cNvGraphicFramePr>
            <a:graphic>
              <a:graphicData uri="http://schemas.openxmlformats.org/drawingml/2006/picture">
                <pic:pic>
                  <pic:nvPicPr>
                    <pic:cNvPr id="0" name="ui_compare.jpg"/>
                    <pic:cNvPicPr/>
                  </pic:nvPicPr>
                  <pic:blipFill>
                    <a:blip r:embed="rId17"/>
                    <a:stretch>
                      <a:fillRect/>
                    </a:stretch>
                  </pic:blipFill>
                  <pic:spPr>
                    <a:xfrm>
                      <a:off x="0" y="0"/>
                      <a:ext cx="5220000" cy="2936250"/>
                    </a:xfrm>
                    <a:prstGeom prst="rect"/>
                  </pic:spPr>
                </pic:pic>
              </a:graphicData>
            </a:graphic>
          </wp:inline>
        </w:drawing>
      </w:r>
    </w:p>
    <w:p>
      <w:pPr>
        <w:spacing w:after="160"/>
        <w:jc w:val="center"/>
      </w:pPr>
      <w:r>
        <w:rPr>
          <w:b w:val="0"/>
          <w:i/>
          <w:color w:val="6B675C"/>
          <w:sz w:val="17"/>
        </w:rPr>
        <w:t>Figure 8. Comparing two companies on one chart, every line rebased to 100 on the same start date.</w:t>
      </w:r>
    </w:p>
    <w:p>
      <w:pPr>
        <w:pStyle w:val="Heading2"/>
      </w:pPr>
      <w:r>
        <w:t>Charts from online sources</w:t>
      </w:r>
    </w:p>
    <w:p>
      <w:r>
        <w:rPr>
          <w:b w:val="0"/>
        </w:rPr>
        <w:t>Company charts are fetched live from Yahoo Finance when the machine is online and read from the saved snapshot when it is not, labelled either way with the source and the date of the last close. A TradingView tab offers a fully interactive live chart. The 50- and 200-day averages, range buttons and a hover read-out are built in.</w:t>
      </w:r>
    </w:p>
    <w:p>
      <w:pPr>
        <w:pStyle w:val="Heading2"/>
      </w:pPr>
      <w:r>
        <w:t>Language, theme and accessibility</w:t>
      </w:r>
    </w:p>
    <w:p>
      <w:pPr>
        <w:pStyle w:val="ListBullet"/>
        <w:spacing w:after="40"/>
      </w:pPr>
      <w:r>
        <w:rPr>
          <w:b w:val="0"/>
        </w:rPr>
        <w:t>English and Hindi throughout, written by hand (no machine translation of answers or tours).</w:t>
      </w:r>
    </w:p>
    <w:p>
      <w:pPr>
        <w:pStyle w:val="ListBullet"/>
        <w:spacing w:after="40"/>
      </w:pPr>
      <w:r>
        <w:rPr>
          <w:b w:val="0"/>
        </w:rPr>
        <w:t>Light and dark themes; layouts work at phone width with no sideways scrolling.</w:t>
      </w:r>
    </w:p>
    <w:p>
      <w:pPr>
        <w:pStyle w:val="ListBullet"/>
        <w:spacing w:after="40"/>
      </w:pPr>
      <w:r>
        <w:rPr>
          <w:b w:val="0"/>
        </w:rPr>
        <w:t>Voice in and out, with an always-visible stop; captions for every spoken line.</w:t>
      </w:r>
    </w:p>
    <w:p>
      <w:pPr>
        <w:pStyle w:val="ListBullet"/>
        <w:spacing w:after="40"/>
      </w:pPr>
      <w:r>
        <w:rPr>
          <w:b w:val="0"/>
        </w:rPr>
        <w:t>Question and answer shown as one block so it is always clear what an answer answers, whether the question was typed or spoken.</w:t>
      </w:r>
    </w:p>
    <w:p>
      <w:pPr>
        <w:keepNext/>
        <w:spacing w:after="40"/>
        <w:jc w:val="center"/>
      </w:pPr>
      <w:r>
        <w:drawing>
          <wp:inline xmlns:a="http://schemas.openxmlformats.org/drawingml/2006/main" xmlns:pic="http://schemas.openxmlformats.org/drawingml/2006/picture">
            <wp:extent cx="2232000" cy="4831040"/>
            <wp:docPr id="9" name="Picture 9"/>
            <wp:cNvGraphicFramePr>
              <a:graphicFrameLocks noChangeAspect="1"/>
            </wp:cNvGraphicFramePr>
            <a:graphic>
              <a:graphicData uri="http://schemas.openxmlformats.org/drawingml/2006/picture">
                <pic:pic>
                  <pic:nvPicPr>
                    <pic:cNvPr id="0" name="ui_mobile.jpg"/>
                    <pic:cNvPicPr/>
                  </pic:nvPicPr>
                  <pic:blipFill>
                    <a:blip r:embed="rId18"/>
                    <a:stretch>
                      <a:fillRect/>
                    </a:stretch>
                  </pic:blipFill>
                  <pic:spPr>
                    <a:xfrm>
                      <a:off x="0" y="0"/>
                      <a:ext cx="2232000" cy="4831040"/>
                    </a:xfrm>
                    <a:prstGeom prst="rect"/>
                  </pic:spPr>
                </pic:pic>
              </a:graphicData>
            </a:graphic>
          </wp:inline>
        </w:drawing>
      </w:r>
    </w:p>
    <w:p>
      <w:pPr>
        <w:spacing w:after="160"/>
        <w:jc w:val="center"/>
      </w:pPr>
      <w:r>
        <w:rPr>
          <w:b w:val="0"/>
          <w:i/>
          <w:color w:val="6B675C"/>
          <w:sz w:val="17"/>
        </w:rPr>
        <w:t>Figure 9. The assistant on a phone in the light theme: example questions grouped by need, message box docked at the bottom.</w:t>
      </w:r>
    </w:p>
    <w:p>
      <w:pPr>
        <w:pStyle w:val="Heading1"/>
        <w:pageBreakBefore/>
      </w:pPr>
      <w:r>
        <w:t>9. Five flagship features in depth</w:t>
      </w:r>
    </w:p>
    <w:p>
      <w:pPr>
        <w:pStyle w:val="Heading2"/>
      </w:pPr>
      <w:r>
        <w:t>9.1 The moneylender check: making a hidden cost visible</w:t>
      </w:r>
    </w:p>
    <w:p>
      <w:r>
        <w:rPr>
          <w:b w:val="0"/>
        </w:rPr>
        <w:t>'Five rupees per hundred' is how most informal credit is quoted. It sounds small, so the real cost goes unquestioned. The tool turns it into the yearly rate, the rupees paid and the comparison with a bank loan, in Hindi or English, by text or voice note.</w:t>
      </w:r>
    </w:p>
    <w:p>
      <w:pPr>
        <w:keepNext/>
        <w:spacing w:after="40"/>
        <w:jc w:val="center"/>
      </w:pPr>
      <w:r>
        <w:drawing>
          <wp:inline xmlns:a="http://schemas.openxmlformats.org/drawingml/2006/main" xmlns:pic="http://schemas.openxmlformats.org/drawingml/2006/picture">
            <wp:extent cx="4968000" cy="2978117"/>
            <wp:docPr id="10" name="Picture 10"/>
            <wp:cNvGraphicFramePr>
              <a:graphicFrameLocks noChangeAspect="1"/>
            </wp:cNvGraphicFramePr>
            <a:graphic>
              <a:graphicData uri="http://schemas.openxmlformats.org/drawingml/2006/picture">
                <pic:pic>
                  <pic:nvPicPr>
                    <pic:cNvPr id="0" name="lender.png"/>
                    <pic:cNvPicPr/>
                  </pic:nvPicPr>
                  <pic:blipFill>
                    <a:blip r:embed="rId19"/>
                    <a:stretch>
                      <a:fillRect/>
                    </a:stretch>
                  </pic:blipFill>
                  <pic:spPr>
                    <a:xfrm>
                      <a:off x="0" y="0"/>
                      <a:ext cx="4968000" cy="2978117"/>
                    </a:xfrm>
                    <a:prstGeom prst="rect"/>
                  </pic:spPr>
                </pic:pic>
              </a:graphicData>
            </a:graphic>
          </wp:inline>
        </w:drawing>
      </w:r>
    </w:p>
    <w:p>
      <w:pPr>
        <w:spacing w:after="160"/>
        <w:jc w:val="center"/>
      </w:pPr>
      <w:r>
        <w:rPr>
          <w:b w:val="0"/>
          <w:i/>
          <w:color w:val="6B675C"/>
          <w:sz w:val="17"/>
        </w:rPr>
        <w:t>Figure 10. The same loan quoted per month and per year. A 5-rupee rate costs 60% a year; on Rs 50,000 that is Rs 30,000 of interest (simple interest, before compounding).</w:t>
      </w:r>
    </w:p>
    <w:tbl>
      <w:tblPr>
        <w:tblW w:type="auto" w:w="0"/>
        <w:jc w:val="center"/>
        <w:tblLayout w:type="fixed"/>
        <w:tblLook w:firstColumn="1" w:firstRow="1" w:lastColumn="0" w:lastRow="0" w:noHBand="0" w:noVBand="1" w:val="04A0"/>
        <w:tblBorders>
          <w:top w:val="single" w:sz="4" w:color="D8D0BC"/>
          <w:left w:val="single" w:sz="4" w:color="D8D0BC"/>
          <w:bottom w:val="single" w:sz="4" w:color="D8D0BC"/>
          <w:right w:val="single" w:sz="4" w:color="D8D0BC"/>
          <w:insideH w:val="single" w:sz="4" w:color="D8D0BC"/>
          <w:insideV w:val="single" w:sz="4" w:color="D8D0BC"/>
        </w:tblBorders>
      </w:tblPr>
      <w:tblGrid>
        <w:gridCol w:w="3175"/>
        <w:gridCol w:w="3175"/>
        <w:gridCol w:w="3175"/>
      </w:tblGrid>
      <w:tr>
        <w:tc>
          <w:tcPr>
            <w:tcW w:type="dxa" w:w="907"/>
            <w:shd w:val="clear" w:color="auto" w:fill="2A2C31"/>
          </w:tcPr>
          <w:p>
            <w:pPr>
              <w:spacing w:after="20"/>
            </w:pPr>
            <w:r>
              <w:rPr>
                <w:b/>
                <w:color w:val="FFFFFF"/>
                <w:sz w:val="17"/>
              </w:rPr>
              <w:t>Step</w:t>
            </w:r>
          </w:p>
        </w:tc>
        <w:tc>
          <w:tcPr>
            <w:tcW w:type="dxa" w:w="3515"/>
            <w:shd w:val="clear" w:color="auto" w:fill="2A2C31"/>
          </w:tcPr>
          <w:p>
            <w:pPr>
              <w:spacing w:after="20"/>
            </w:pPr>
            <w:r>
              <w:rPr>
                <w:b/>
                <w:color w:val="FFFFFF"/>
                <w:sz w:val="17"/>
              </w:rPr>
              <w:t>What the person does</w:t>
            </w:r>
          </w:p>
        </w:tc>
        <w:tc>
          <w:tcPr>
            <w:tcW w:type="dxa" w:w="4989"/>
            <w:shd w:val="clear" w:color="auto" w:fill="2A2C31"/>
          </w:tcPr>
          <w:p>
            <w:pPr>
              <w:spacing w:after="20"/>
            </w:pPr>
            <w:r>
              <w:rPr>
                <w:b/>
                <w:color w:val="FFFFFF"/>
                <w:sz w:val="17"/>
              </w:rPr>
              <w:t>What the platform shows</w:t>
            </w:r>
          </w:p>
        </w:tc>
      </w:tr>
      <w:tr>
        <w:tc>
          <w:tcPr>
            <w:tcW w:type="dxa" w:w="907"/>
          </w:tcPr>
          <w:p>
            <w:pPr>
              <w:spacing w:after="20"/>
            </w:pPr>
            <w:r>
              <w:rPr>
                <w:b w:val="0"/>
                <w:sz w:val="17"/>
              </w:rPr>
              <w:t>1</w:t>
            </w:r>
          </w:p>
        </w:tc>
        <w:tc>
          <w:tcPr>
            <w:tcW w:type="dxa" w:w="3515"/>
          </w:tcPr>
          <w:p>
            <w:pPr>
              <w:spacing w:after="20"/>
            </w:pPr>
            <w:r>
              <w:rPr>
                <w:b w:val="0"/>
                <w:sz w:val="17"/>
              </w:rPr>
              <w:t>Types or says: 'sahukar 5 rupaye sainkda, 50,000'</w:t>
            </w:r>
          </w:p>
        </w:tc>
        <w:tc>
          <w:tcPr>
            <w:tcW w:type="dxa" w:w="4989"/>
          </w:tcPr>
          <w:p>
            <w:pPr>
              <w:spacing w:after="20"/>
            </w:pPr>
            <w:r>
              <w:rPr>
                <w:b w:val="0"/>
                <w:sz w:val="17"/>
              </w:rPr>
              <w:t>Understands the rate, the amount and the months from the sentence, in Hindi or English</w:t>
            </w:r>
          </w:p>
        </w:tc>
      </w:tr>
      <w:tr>
        <w:tc>
          <w:tcPr>
            <w:tcW w:type="dxa" w:w="907"/>
            <w:shd w:val="clear" w:color="auto" w:fill="FAF6EA"/>
          </w:tcPr>
          <w:p>
            <w:pPr>
              <w:spacing w:after="20"/>
            </w:pPr>
            <w:r>
              <w:rPr>
                <w:b w:val="0"/>
                <w:sz w:val="17"/>
              </w:rPr>
              <w:t>2</w:t>
            </w:r>
          </w:p>
        </w:tc>
        <w:tc>
          <w:tcPr>
            <w:tcW w:type="dxa" w:w="3515"/>
            <w:shd w:val="clear" w:color="auto" w:fill="FAF6EA"/>
          </w:tcPr>
          <w:p>
            <w:pPr>
              <w:spacing w:after="20"/>
            </w:pPr>
            <w:r>
              <w:rPr>
                <w:b w:val="0"/>
                <w:sz w:val="17"/>
              </w:rPr>
              <w:t>Confirms the numbers</w:t>
            </w:r>
          </w:p>
        </w:tc>
        <w:tc>
          <w:tcPr>
            <w:tcW w:type="dxa" w:w="4989"/>
            <w:shd w:val="clear" w:color="auto" w:fill="FAF6EA"/>
          </w:tcPr>
          <w:p>
            <w:pPr>
              <w:spacing w:after="20"/>
            </w:pPr>
            <w:r>
              <w:rPr>
                <w:b w:val="0"/>
                <w:sz w:val="17"/>
              </w:rPr>
              <w:t>Asks only for what is missing, one question at a time</w:t>
            </w:r>
          </w:p>
        </w:tc>
      </w:tr>
      <w:tr>
        <w:tc>
          <w:tcPr>
            <w:tcW w:type="dxa" w:w="907"/>
          </w:tcPr>
          <w:p>
            <w:pPr>
              <w:spacing w:after="20"/>
            </w:pPr>
            <w:r>
              <w:rPr>
                <w:b w:val="0"/>
                <w:sz w:val="17"/>
              </w:rPr>
              <w:t>3</w:t>
            </w:r>
          </w:p>
        </w:tc>
        <w:tc>
          <w:tcPr>
            <w:tcW w:type="dxa" w:w="3515"/>
          </w:tcPr>
          <w:p>
            <w:pPr>
              <w:spacing w:after="20"/>
            </w:pPr>
            <w:r>
              <w:rPr>
                <w:b w:val="0"/>
                <w:sz w:val="17"/>
              </w:rPr>
              <w:t>Reads the result</w:t>
            </w:r>
          </w:p>
        </w:tc>
        <w:tc>
          <w:tcPr>
            <w:tcW w:type="dxa" w:w="4989"/>
          </w:tcPr>
          <w:p>
            <w:pPr>
              <w:spacing w:after="20"/>
            </w:pPr>
            <w:r>
              <w:rPr>
                <w:b w:val="0"/>
                <w:sz w:val="17"/>
              </w:rPr>
              <w:t>60% a year; Rs 30,000 a year; what a 12% bank loan would cost instead</w:t>
            </w:r>
          </w:p>
        </w:tc>
      </w:tr>
      <w:tr>
        <w:tc>
          <w:tcPr>
            <w:tcW w:type="dxa" w:w="907"/>
            <w:shd w:val="clear" w:color="auto" w:fill="FAF6EA"/>
          </w:tcPr>
          <w:p>
            <w:pPr>
              <w:spacing w:after="20"/>
            </w:pPr>
            <w:r>
              <w:rPr>
                <w:b w:val="0"/>
                <w:sz w:val="17"/>
              </w:rPr>
              <w:t>4</w:t>
            </w:r>
          </w:p>
        </w:tc>
        <w:tc>
          <w:tcPr>
            <w:tcW w:type="dxa" w:w="3515"/>
            <w:shd w:val="clear" w:color="auto" w:fill="FAF6EA"/>
          </w:tcPr>
          <w:p>
            <w:pPr>
              <w:spacing w:after="20"/>
            </w:pPr>
            <w:r>
              <w:rPr>
                <w:b w:val="0"/>
                <w:sz w:val="17"/>
              </w:rPr>
              <w:t>Optional</w:t>
            </w:r>
          </w:p>
        </w:tc>
        <w:tc>
          <w:tcPr>
            <w:tcW w:type="dxa" w:w="4989"/>
            <w:shd w:val="clear" w:color="auto" w:fill="FAF6EA"/>
          </w:tcPr>
          <w:p>
            <w:pPr>
              <w:spacing w:after="20"/>
            </w:pPr>
            <w:r>
              <w:rPr>
                <w:b w:val="0"/>
                <w:sz w:val="17"/>
              </w:rPr>
              <w:t>Opens the schemes finder and papers checklist to look for cheaper credit</w:t>
            </w:r>
          </w:p>
        </w:tc>
      </w:tr>
    </w:tbl>
    <w:p>
      <w:pPr>
        <w:spacing w:after="40"/>
      </w:pPr>
    </w:p>
    <w:p>
      <w:pPr>
        <w:pStyle w:val="Heading2"/>
      </w:pPr>
      <w:r>
        <w:t>9.2 Scam recovery: the first hour</w:t>
      </w:r>
    </w:p>
    <w:p>
      <w:r>
        <w:rPr>
          <w:b w:val="0"/>
        </w:rPr>
        <w:t>When money has already gone, speed decides whether a bank can freeze it. The coach asks what happened and orders the steps by time. Every answer includes 'none of this is your fault' and warns against the second scam: paying a 'recovery agent'.</w:t>
      </w:r>
    </w:p>
    <w:p>
      <w:pPr>
        <w:keepNext/>
        <w:spacing w:after="40"/>
        <w:jc w:val="center"/>
      </w:pPr>
      <w:r>
        <w:drawing>
          <wp:inline xmlns:a="http://schemas.openxmlformats.org/drawingml/2006/main" xmlns:pic="http://schemas.openxmlformats.org/drawingml/2006/picture">
            <wp:extent cx="5112000" cy="2057268"/>
            <wp:docPr id="11" name="Picture 11"/>
            <wp:cNvGraphicFramePr>
              <a:graphicFrameLocks noChangeAspect="1"/>
            </wp:cNvGraphicFramePr>
            <a:graphic>
              <a:graphicData uri="http://schemas.openxmlformats.org/drawingml/2006/picture">
                <pic:pic>
                  <pic:nvPicPr>
                    <pic:cNvPr id="0" name="recovery.png"/>
                    <pic:cNvPicPr/>
                  </pic:nvPicPr>
                  <pic:blipFill>
                    <a:blip r:embed="rId20"/>
                    <a:stretch>
                      <a:fillRect/>
                    </a:stretch>
                  </pic:blipFill>
                  <pic:spPr>
                    <a:xfrm>
                      <a:off x="0" y="0"/>
                      <a:ext cx="5112000" cy="2057268"/>
                    </a:xfrm>
                    <a:prstGeom prst="rect"/>
                  </pic:spPr>
                </pic:pic>
              </a:graphicData>
            </a:graphic>
          </wp:inline>
        </w:drawing>
      </w:r>
    </w:p>
    <w:p>
      <w:pPr>
        <w:spacing w:after="160"/>
        <w:jc w:val="center"/>
      </w:pPr>
      <w:r>
        <w:rPr>
          <w:b w:val="0"/>
          <w:i/>
          <w:color w:val="6B675C"/>
          <w:sz w:val="17"/>
        </w:rPr>
        <w:t>Figure 11. The recovery timeline the coach follows.</w:t>
      </w:r>
    </w:p>
    <w:p>
      <w:pPr>
        <w:pStyle w:val="Heading2"/>
      </w:pPr>
      <w:r>
        <w:t>9.3 The plain-words research summary</w:t>
      </w:r>
    </w:p>
    <w:p>
      <w:r>
        <w:rPr>
          <w:b w:val="0"/>
        </w:rPr>
        <w:t>A company is judged on more than its price. The summary reads fundamentals, valuation in context, ownership and the chart, and then shows how much to trust each line.</w:t>
      </w:r>
    </w:p>
    <w:tbl>
      <w:tblPr>
        <w:tblW w:type="auto" w:w="0"/>
        <w:jc w:val="center"/>
        <w:tblLayout w:type="fixed"/>
        <w:tblLook w:firstColumn="1" w:firstRow="1" w:lastColumn="0" w:lastRow="0" w:noHBand="0" w:noVBand="1" w:val="04A0"/>
        <w:tblBorders>
          <w:top w:val="single" w:sz="4" w:color="D8D0BC"/>
          <w:left w:val="single" w:sz="4" w:color="D8D0BC"/>
          <w:bottom w:val="single" w:sz="4" w:color="D8D0BC"/>
          <w:right w:val="single" w:sz="4" w:color="D8D0BC"/>
          <w:insideH w:val="single" w:sz="4" w:color="D8D0BC"/>
          <w:insideV w:val="single" w:sz="4" w:color="D8D0BC"/>
        </w:tblBorders>
      </w:tblPr>
      <w:tblGrid>
        <w:gridCol w:w="3175"/>
        <w:gridCol w:w="3175"/>
        <w:gridCol w:w="3175"/>
      </w:tblGrid>
      <w:tr>
        <w:tc>
          <w:tcPr>
            <w:tcW w:type="dxa" w:w="1814"/>
            <w:shd w:val="clear" w:color="auto" w:fill="2A2C31"/>
          </w:tcPr>
          <w:p>
            <w:pPr>
              <w:spacing w:after="20"/>
            </w:pPr>
            <w:r>
              <w:rPr>
                <w:b/>
                <w:color w:val="FFFFFF"/>
                <w:sz w:val="16"/>
              </w:rPr>
              <w:t>Layer</w:t>
            </w:r>
          </w:p>
        </w:tc>
        <w:tc>
          <w:tcPr>
            <w:tcW w:type="dxa" w:w="3969"/>
            <w:shd w:val="clear" w:color="auto" w:fill="2A2C31"/>
          </w:tcPr>
          <w:p>
            <w:pPr>
              <w:spacing w:after="20"/>
            </w:pPr>
            <w:r>
              <w:rPr>
                <w:b/>
                <w:color w:val="FFFFFF"/>
                <w:sz w:val="16"/>
              </w:rPr>
              <w:t>Examples of what is read</w:t>
            </w:r>
          </w:p>
        </w:tc>
        <w:tc>
          <w:tcPr>
            <w:tcW w:type="dxa" w:w="3628"/>
            <w:shd w:val="clear" w:color="auto" w:fill="2A2C31"/>
          </w:tcPr>
          <w:p>
            <w:pPr>
              <w:spacing w:after="20"/>
            </w:pPr>
            <w:r>
              <w:rPr>
                <w:b/>
                <w:color w:val="FFFFFF"/>
                <w:sz w:val="16"/>
              </w:rPr>
              <w:t>How it appears</w:t>
            </w:r>
          </w:p>
        </w:tc>
      </w:tr>
      <w:tr>
        <w:tc>
          <w:tcPr>
            <w:tcW w:type="dxa" w:w="1814"/>
          </w:tcPr>
          <w:p>
            <w:pPr>
              <w:spacing w:after="20"/>
            </w:pPr>
            <w:r>
              <w:rPr>
                <w:b w:val="0"/>
                <w:sz w:val="16"/>
              </w:rPr>
              <w:t>Growth</w:t>
            </w:r>
          </w:p>
        </w:tc>
        <w:tc>
          <w:tcPr>
            <w:tcW w:type="dxa" w:w="3969"/>
          </w:tcPr>
          <w:p>
            <w:pPr>
              <w:spacing w:after="20"/>
            </w:pPr>
            <w:r>
              <w:rPr>
                <w:b w:val="0"/>
                <w:sz w:val="16"/>
              </w:rPr>
              <w:t>Sales and profit growth, three-year sales growth</w:t>
            </w:r>
          </w:p>
        </w:tc>
        <w:tc>
          <w:tcPr>
            <w:tcW w:type="dxa" w:w="3628"/>
          </w:tcPr>
          <w:p>
            <w:pPr>
              <w:spacing w:after="20"/>
            </w:pPr>
            <w:r>
              <w:rPr>
                <w:b w:val="0"/>
                <w:sz w:val="16"/>
              </w:rPr>
              <w:t>Good point or watch-out with the figure and its age</w:t>
            </w:r>
          </w:p>
        </w:tc>
      </w:tr>
      <w:tr>
        <w:tc>
          <w:tcPr>
            <w:tcW w:type="dxa" w:w="1814"/>
            <w:shd w:val="clear" w:color="auto" w:fill="FAF6EA"/>
          </w:tcPr>
          <w:p>
            <w:pPr>
              <w:spacing w:after="20"/>
            </w:pPr>
            <w:r>
              <w:rPr>
                <w:b w:val="0"/>
                <w:sz w:val="16"/>
              </w:rPr>
              <w:t>Cash and safety</w:t>
            </w:r>
          </w:p>
        </w:tc>
        <w:tc>
          <w:tcPr>
            <w:tcW w:type="dxa" w:w="3969"/>
            <w:shd w:val="clear" w:color="auto" w:fill="FAF6EA"/>
          </w:tcPr>
          <w:p>
            <w:pPr>
              <w:spacing w:after="20"/>
            </w:pPr>
            <w:r>
              <w:rPr>
                <w:b w:val="0"/>
                <w:sz w:val="16"/>
              </w:rPr>
              <w:t>Cash conversion, free cash flow, debt, interest cover, liquidity, distress and quality scores</w:t>
            </w:r>
          </w:p>
        </w:tc>
        <w:tc>
          <w:tcPr>
            <w:tcW w:type="dxa" w:w="3628"/>
            <w:shd w:val="clear" w:color="auto" w:fill="FAF6EA"/>
          </w:tcPr>
          <w:p>
            <w:pPr>
              <w:spacing w:after="20"/>
            </w:pPr>
            <w:r>
              <w:rPr>
                <w:b w:val="0"/>
                <w:sz w:val="16"/>
              </w:rPr>
              <w:t>Banks skip debt-type measures and the page says why</w:t>
            </w:r>
          </w:p>
        </w:tc>
      </w:tr>
      <w:tr>
        <w:tc>
          <w:tcPr>
            <w:tcW w:type="dxa" w:w="1814"/>
          </w:tcPr>
          <w:p>
            <w:pPr>
              <w:spacing w:after="20"/>
            </w:pPr>
            <w:r>
              <w:rPr>
                <w:b w:val="0"/>
                <w:sz w:val="16"/>
              </w:rPr>
              <w:t>Valuation in context</w:t>
            </w:r>
          </w:p>
        </w:tc>
        <w:tc>
          <w:tcPr>
            <w:tcW w:type="dxa" w:w="3969"/>
          </w:tcPr>
          <w:p>
            <w:pPr>
              <w:spacing w:after="20"/>
            </w:pPr>
            <w:r>
              <w:rPr>
                <w:b w:val="0"/>
                <w:sz w:val="16"/>
              </w:rPr>
              <w:t>Price against profit versus peers and versus the company's own past range; growth-adjusted valuation</w:t>
            </w:r>
          </w:p>
        </w:tc>
        <w:tc>
          <w:tcPr>
            <w:tcW w:type="dxa" w:w="3628"/>
          </w:tcPr>
          <w:p>
            <w:pPr>
              <w:spacing w:after="20"/>
            </w:pPr>
            <w:r>
              <w:rPr>
                <w:b w:val="0"/>
                <w:sz w:val="16"/>
              </w:rPr>
              <w:t>Peer rank bars, with the number of peers</w:t>
            </w:r>
          </w:p>
        </w:tc>
      </w:tr>
      <w:tr>
        <w:tc>
          <w:tcPr>
            <w:tcW w:type="dxa" w:w="1814"/>
            <w:shd w:val="clear" w:color="auto" w:fill="FAF6EA"/>
          </w:tcPr>
          <w:p>
            <w:pPr>
              <w:spacing w:after="20"/>
            </w:pPr>
            <w:r>
              <w:rPr>
                <w:b w:val="0"/>
                <w:sz w:val="16"/>
              </w:rPr>
              <w:t>Ownership</w:t>
            </w:r>
          </w:p>
        </w:tc>
        <w:tc>
          <w:tcPr>
            <w:tcW w:type="dxa" w:w="3969"/>
            <w:shd w:val="clear" w:color="auto" w:fill="FAF6EA"/>
          </w:tcPr>
          <w:p>
            <w:pPr>
              <w:spacing w:after="20"/>
            </w:pPr>
            <w:r>
              <w:rPr>
                <w:b w:val="0"/>
                <w:sz w:val="16"/>
              </w:rPr>
              <w:t>Insider and institutional share; trend once two snapshots exist; pledging flagged as not available</w:t>
            </w:r>
          </w:p>
        </w:tc>
        <w:tc>
          <w:tcPr>
            <w:tcW w:type="dxa" w:w="3628"/>
            <w:shd w:val="clear" w:color="auto" w:fill="FAF6EA"/>
          </w:tcPr>
          <w:p>
            <w:pPr>
              <w:spacing w:after="20"/>
            </w:pPr>
            <w:r>
              <w:rPr>
                <w:b w:val="0"/>
                <w:sz w:val="16"/>
              </w:rPr>
              <w:t>Honest 'could not check' list</w:t>
            </w:r>
          </w:p>
        </w:tc>
      </w:tr>
      <w:tr>
        <w:tc>
          <w:tcPr>
            <w:tcW w:type="dxa" w:w="1814"/>
          </w:tcPr>
          <w:p>
            <w:pPr>
              <w:spacing w:after="20"/>
            </w:pPr>
            <w:r>
              <w:rPr>
                <w:b w:val="0"/>
                <w:sz w:val="16"/>
              </w:rPr>
              <w:t>Price behaviour</w:t>
            </w:r>
          </w:p>
        </w:tc>
        <w:tc>
          <w:tcPr>
            <w:tcW w:type="dxa" w:w="3969"/>
          </w:tcPr>
          <w:p>
            <w:pPr>
              <w:spacing w:after="20"/>
            </w:pPr>
            <w:r>
              <w:rPr>
                <w:b w:val="0"/>
                <w:sz w:val="16"/>
              </w:rPr>
              <w:t>Trend against 50- and 200-day averages, momentum, volume, distance from the year's range</w:t>
            </w:r>
          </w:p>
        </w:tc>
        <w:tc>
          <w:tcPr>
            <w:tcW w:type="dxa" w:w="3628"/>
          </w:tcPr>
          <w:p>
            <w:pPr>
              <w:spacing w:after="20"/>
            </w:pPr>
            <w:r>
              <w:rPr>
                <w:b w:val="0"/>
                <w:sz w:val="16"/>
              </w:rPr>
              <w:t>Capped at three so one price fact is not counted several times</w:t>
            </w:r>
          </w:p>
        </w:tc>
      </w:tr>
      <w:tr>
        <w:tc>
          <w:tcPr>
            <w:tcW w:type="dxa" w:w="1814"/>
            <w:shd w:val="clear" w:color="auto" w:fill="FAF6EA"/>
          </w:tcPr>
          <w:p>
            <w:pPr>
              <w:spacing w:after="20"/>
            </w:pPr>
            <w:r>
              <w:rPr>
                <w:b w:val="0"/>
                <w:sz w:val="16"/>
              </w:rPr>
              <w:t>Trust</w:t>
            </w:r>
          </w:p>
        </w:tc>
        <w:tc>
          <w:tcPr>
            <w:tcW w:type="dxa" w:w="3969"/>
            <w:shd w:val="clear" w:color="auto" w:fill="FAF6EA"/>
          </w:tcPr>
          <w:p>
            <w:pPr>
              <w:spacing w:after="20"/>
            </w:pPr>
            <w:r>
              <w:rPr>
                <w:b w:val="0"/>
                <w:sz w:val="16"/>
              </w:rPr>
              <w:t>Basis, sample size, data age, number of checks that had data</w:t>
            </w:r>
          </w:p>
        </w:tc>
        <w:tc>
          <w:tcPr>
            <w:tcW w:type="dxa" w:w="3628"/>
            <w:shd w:val="clear" w:color="auto" w:fill="FAF6EA"/>
          </w:tcPr>
          <w:p>
            <w:pPr>
              <w:spacing w:after="20"/>
            </w:pPr>
            <w:r>
              <w:rPr>
                <w:b w:val="0"/>
                <w:sz w:val="16"/>
              </w:rPr>
              <w:t>Solid / light / weak mark on every line</w:t>
            </w:r>
          </w:p>
        </w:tc>
      </w:tr>
    </w:tbl>
    <w:p>
      <w:pPr>
        <w:spacing w:after="40"/>
      </w:pPr>
    </w:p>
    <w:p>
      <w:pPr>
        <w:pStyle w:val="Heading2"/>
      </w:pPr>
      <w:r>
        <w:t>9.4 The risk firewall and the audit chain</w:t>
      </w:r>
    </w:p>
    <w:p>
      <w:r>
        <w:rPr>
          <w:b w:val="0"/>
        </w:rPr>
        <w:t>Limits are only useful if they cannot be argued with. The firewall checks every trade against per-stock, per-industry and cash limits with plain arithmetic, and writes every decision to a chain in which each row carries the fingerprint of the previous one.</w:t>
      </w:r>
    </w:p>
    <w:p>
      <w:pPr>
        <w:keepNext/>
        <w:spacing w:after="40"/>
        <w:jc w:val="center"/>
      </w:pPr>
      <w:r>
        <w:drawing>
          <wp:inline xmlns:a="http://schemas.openxmlformats.org/drawingml/2006/main" xmlns:pic="http://schemas.openxmlformats.org/drawingml/2006/picture">
            <wp:extent cx="5112000" cy="1931107"/>
            <wp:docPr id="12" name="Picture 12"/>
            <wp:cNvGraphicFramePr>
              <a:graphicFrameLocks noChangeAspect="1"/>
            </wp:cNvGraphicFramePr>
            <a:graphic>
              <a:graphicData uri="http://schemas.openxmlformats.org/drawingml/2006/picture">
                <pic:pic>
                  <pic:nvPicPr>
                    <pic:cNvPr id="0" name="chain.png"/>
                    <pic:cNvPicPr/>
                  </pic:nvPicPr>
                  <pic:blipFill>
                    <a:blip r:embed="rId21"/>
                    <a:stretch>
                      <a:fillRect/>
                    </a:stretch>
                  </pic:blipFill>
                  <pic:spPr>
                    <a:xfrm>
                      <a:off x="0" y="0"/>
                      <a:ext cx="5112000" cy="1931107"/>
                    </a:xfrm>
                    <a:prstGeom prst="rect"/>
                  </pic:spPr>
                </pic:pic>
              </a:graphicData>
            </a:graphic>
          </wp:inline>
        </w:drawing>
      </w:r>
    </w:p>
    <w:p>
      <w:pPr>
        <w:spacing w:after="160"/>
        <w:jc w:val="center"/>
      </w:pPr>
      <w:r>
        <w:rPr>
          <w:b w:val="0"/>
          <w:i/>
          <w:color w:val="6B675C"/>
          <w:sz w:val="17"/>
        </w:rPr>
        <w:t>Figure 12. A hash-chained record. Changing any past entry breaks every fingerprint after it.</w:t>
      </w:r>
    </w:p>
    <w:p>
      <w:pPr>
        <w:pStyle w:val="Heading2"/>
      </w:pPr>
      <w:r>
        <w:t>9.5 Guided tours: learning a feature by watching it</w:t>
      </w:r>
    </w:p>
    <w:p>
      <w:r>
        <w:rPr>
          <w:b w:val="0"/>
        </w:rPr>
        <w:t>A tour is a list of steps: open this page, press this tab, spotlight this part, say this. The same list drives the text answer, so the words on screen and the words spoken never disagree. A ghost pointer shows how a button is pressed, which matters for people who learn by seeing. Tours exist for the whole app, each page, and each tool, and 'this feature' always means the page that is open.</w:t>
      </w:r>
    </w:p>
    <w:p>
      <w:pPr>
        <w:keepNext/>
        <w:spacing w:after="40"/>
        <w:jc w:val="center"/>
      </w:pPr>
      <w:r>
        <w:drawing>
          <wp:inline xmlns:a="http://schemas.openxmlformats.org/drawingml/2006/main" xmlns:pic="http://schemas.openxmlformats.org/drawingml/2006/picture">
            <wp:extent cx="5040000" cy="2835000"/>
            <wp:docPr id="13" name="Picture 13"/>
            <wp:cNvGraphicFramePr>
              <a:graphicFrameLocks noChangeAspect="1"/>
            </wp:cNvGraphicFramePr>
            <a:graphic>
              <a:graphicData uri="http://schemas.openxmlformats.org/drawingml/2006/picture">
                <pic:pic>
                  <pic:nvPicPr>
                    <pic:cNvPr id="0" name="ui_tour.jpg"/>
                    <pic:cNvPicPr/>
                  </pic:nvPicPr>
                  <pic:blipFill>
                    <a:blip r:embed="rId16"/>
                    <a:stretch>
                      <a:fillRect/>
                    </a:stretch>
                  </pic:blipFill>
                  <pic:spPr>
                    <a:xfrm>
                      <a:off x="0" y="0"/>
                      <a:ext cx="5040000" cy="2835000"/>
                    </a:xfrm>
                    <a:prstGeom prst="rect"/>
                  </pic:spPr>
                </pic:pic>
              </a:graphicData>
            </a:graphic>
          </wp:inline>
        </w:drawing>
      </w:r>
    </w:p>
    <w:p>
      <w:pPr>
        <w:spacing w:after="160"/>
        <w:jc w:val="center"/>
      </w:pPr>
      <w:r>
        <w:rPr>
          <w:b w:val="0"/>
          <w:i/>
          <w:color w:val="6B675C"/>
          <w:sz w:val="17"/>
        </w:rPr>
        <w:t>Figure 13. A tour step on the Govern page.</w:t>
      </w:r>
    </w:p>
    <w:p>
      <w:pPr>
        <w:pStyle w:val="Heading1"/>
      </w:pPr>
      <w:r>
        <w:t>10. A day in the life: three users, one platform</w:t>
      </w:r>
    </w:p>
    <w:tbl>
      <w:tblPr>
        <w:tblW w:type="auto" w:w="0"/>
        <w:jc w:val="center"/>
        <w:tblLayout w:type="fixed"/>
        <w:tblLook w:firstColumn="1" w:firstRow="1" w:lastColumn="0" w:lastRow="0" w:noHBand="0" w:noVBand="1" w:val="04A0"/>
        <w:tblBorders>
          <w:top w:val="single" w:sz="4" w:color="D8D0BC"/>
          <w:left w:val="single" w:sz="4" w:color="D8D0BC"/>
          <w:bottom w:val="single" w:sz="4" w:color="D8D0BC"/>
          <w:right w:val="single" w:sz="4" w:color="D8D0BC"/>
          <w:insideH w:val="single" w:sz="4" w:color="D8D0BC"/>
          <w:insideV w:val="single" w:sz="4" w:color="D8D0BC"/>
        </w:tblBorders>
      </w:tblPr>
      <w:tblGrid>
        <w:gridCol w:w="2381"/>
        <w:gridCol w:w="2381"/>
        <w:gridCol w:w="2381"/>
        <w:gridCol w:w="2381"/>
      </w:tblGrid>
      <w:tr>
        <w:tc>
          <w:tcPr>
            <w:tcW w:type="dxa" w:w="1020"/>
            <w:shd w:val="clear" w:color="auto" w:fill="2A2C31"/>
          </w:tcPr>
          <w:p>
            <w:pPr>
              <w:spacing w:after="20"/>
            </w:pPr>
            <w:r>
              <w:rPr>
                <w:b/>
                <w:color w:val="FFFFFF"/>
                <w:sz w:val="16"/>
              </w:rPr>
              <w:t>Time</w:t>
            </w:r>
          </w:p>
        </w:tc>
        <w:tc>
          <w:tcPr>
            <w:tcW w:type="dxa" w:w="2835"/>
            <w:shd w:val="clear" w:color="auto" w:fill="2A2C31"/>
          </w:tcPr>
          <w:p>
            <w:pPr>
              <w:spacing w:after="20"/>
            </w:pPr>
            <w:r>
              <w:rPr>
                <w:b/>
                <w:color w:val="FFFFFF"/>
                <w:sz w:val="16"/>
              </w:rPr>
              <w:t>Sunita (rural, 75%)</w:t>
            </w:r>
          </w:p>
        </w:tc>
        <w:tc>
          <w:tcPr>
            <w:tcW w:type="dxa" w:w="2778"/>
            <w:shd w:val="clear" w:color="auto" w:fill="2A2C31"/>
          </w:tcPr>
          <w:p>
            <w:pPr>
              <w:spacing w:after="20"/>
            </w:pPr>
            <w:r>
              <w:rPr>
                <w:b/>
                <w:color w:val="FFFFFF"/>
                <w:sz w:val="16"/>
              </w:rPr>
              <w:t>Rakesh (salaried, 20%)</w:t>
            </w:r>
          </w:p>
        </w:tc>
        <w:tc>
          <w:tcPr>
            <w:tcW w:type="dxa" w:w="2778"/>
            <w:shd w:val="clear" w:color="auto" w:fill="2A2C31"/>
          </w:tcPr>
          <w:p>
            <w:pPr>
              <w:spacing w:after="20"/>
            </w:pPr>
            <w:r>
              <w:rPr>
                <w:b/>
                <w:color w:val="FFFFFF"/>
                <w:sz w:val="16"/>
              </w:rPr>
              <w:t>Meera (affluent, 5%)</w:t>
            </w:r>
          </w:p>
        </w:tc>
      </w:tr>
      <w:tr>
        <w:tc>
          <w:tcPr>
            <w:tcW w:type="dxa" w:w="1020"/>
          </w:tcPr>
          <w:p>
            <w:pPr>
              <w:spacing w:after="20"/>
            </w:pPr>
            <w:r>
              <w:rPr>
                <w:b w:val="0"/>
                <w:sz w:val="16"/>
              </w:rPr>
              <w:t>Morning</w:t>
            </w:r>
          </w:p>
        </w:tc>
        <w:tc>
          <w:tcPr>
            <w:tcW w:type="dxa" w:w="2835"/>
          </w:tcPr>
          <w:p>
            <w:pPr>
              <w:spacing w:after="20"/>
            </w:pPr>
            <w:r>
              <w:rPr>
                <w:b w:val="0"/>
                <w:sz w:val="16"/>
              </w:rPr>
              <w:t>Gets an SMS-style prompt on WhatsApp; asks by voice note whether her pension instalment is delayed</w:t>
            </w:r>
          </w:p>
        </w:tc>
        <w:tc>
          <w:tcPr>
            <w:tcW w:type="dxa" w:w="2778"/>
          </w:tcPr>
          <w:p>
            <w:pPr>
              <w:spacing w:after="20"/>
            </w:pPr>
            <w:r>
              <w:rPr>
                <w:b w:val="0"/>
                <w:sz w:val="16"/>
              </w:rPr>
              <w:t>Reads his weekly digest on the way to work</w:t>
            </w:r>
          </w:p>
        </w:tc>
        <w:tc>
          <w:tcPr>
            <w:tcW w:type="dxa" w:w="2778"/>
          </w:tcPr>
          <w:p>
            <w:pPr>
              <w:spacing w:after="20"/>
            </w:pPr>
            <w:r>
              <w:rPr>
                <w:b w:val="0"/>
                <w:sz w:val="16"/>
              </w:rPr>
              <w:t>Opens the Govern page: limits are green except one industry</w:t>
            </w:r>
          </w:p>
        </w:tc>
      </w:tr>
      <w:tr>
        <w:tc>
          <w:tcPr>
            <w:tcW w:type="dxa" w:w="1020"/>
            <w:shd w:val="clear" w:color="auto" w:fill="FAF6EA"/>
          </w:tcPr>
          <w:p>
            <w:pPr>
              <w:spacing w:after="20"/>
            </w:pPr>
            <w:r>
              <w:rPr>
                <w:b w:val="0"/>
                <w:sz w:val="16"/>
              </w:rPr>
              <w:t>Midday</w:t>
            </w:r>
          </w:p>
        </w:tc>
        <w:tc>
          <w:tcPr>
            <w:tcW w:type="dxa" w:w="2835"/>
            <w:shd w:val="clear" w:color="auto" w:fill="FAF6EA"/>
          </w:tcPr>
          <w:p>
            <w:pPr>
              <w:spacing w:after="20"/>
            </w:pPr>
            <w:r>
              <w:rPr>
                <w:b w:val="0"/>
                <w:sz w:val="16"/>
              </w:rPr>
              <w:t>Learns the Aadhaar-bank seeding step is missing; follows the papers checklist at the village centre</w:t>
            </w:r>
          </w:p>
        </w:tc>
        <w:tc>
          <w:tcPr>
            <w:tcW w:type="dxa" w:w="2778"/>
            <w:shd w:val="clear" w:color="auto" w:fill="FAF6EA"/>
          </w:tcPr>
          <w:p>
            <w:pPr>
              <w:spacing w:after="20"/>
            </w:pPr>
            <w:r>
              <w:rPr>
                <w:b w:val="0"/>
                <w:sz w:val="16"/>
              </w:rPr>
              <w:t>Sees a tip in a group; pastes it into the tip checker</w:t>
            </w:r>
          </w:p>
        </w:tc>
        <w:tc>
          <w:tcPr>
            <w:tcW w:type="dxa" w:w="2778"/>
            <w:shd w:val="clear" w:color="auto" w:fill="FAF6EA"/>
          </w:tcPr>
          <w:p>
            <w:pPr>
              <w:spacing w:after="20"/>
            </w:pPr>
            <w:r>
              <w:rPr>
                <w:b w:val="0"/>
                <w:sz w:val="16"/>
              </w:rPr>
              <w:t>Checks a proposed trade; the firewall blocks it and offers a smaller size</w:t>
            </w:r>
          </w:p>
        </w:tc>
      </w:tr>
      <w:tr>
        <w:tc>
          <w:tcPr>
            <w:tcW w:type="dxa" w:w="1020"/>
          </w:tcPr>
          <w:p>
            <w:pPr>
              <w:spacing w:after="20"/>
            </w:pPr>
            <w:r>
              <w:rPr>
                <w:b w:val="0"/>
                <w:sz w:val="16"/>
              </w:rPr>
              <w:t>Evening</w:t>
            </w:r>
          </w:p>
        </w:tc>
        <w:tc>
          <w:tcPr>
            <w:tcW w:type="dxa" w:w="2835"/>
          </w:tcPr>
          <w:p>
            <w:pPr>
              <w:spacing w:after="20"/>
            </w:pPr>
            <w:r>
              <w:rPr>
                <w:b w:val="0"/>
                <w:sz w:val="16"/>
              </w:rPr>
              <w:t>SHG meeting: updates the group ledger; prints member statements</w:t>
            </w:r>
          </w:p>
        </w:tc>
        <w:tc>
          <w:tcPr>
            <w:tcW w:type="dxa" w:w="2778"/>
          </w:tcPr>
          <w:p>
            <w:pPr>
              <w:spacing w:after="20"/>
            </w:pPr>
            <w:r>
              <w:rPr>
                <w:b w:val="0"/>
                <w:sz w:val="16"/>
              </w:rPr>
              <w:t>Asks 'SIP or lump sum?' and opens fee drag</w:t>
            </w:r>
          </w:p>
        </w:tc>
        <w:tc>
          <w:tcPr>
            <w:tcW w:type="dxa" w:w="2778"/>
          </w:tcPr>
          <w:p>
            <w:pPr>
              <w:spacing w:after="20"/>
            </w:pPr>
            <w:r>
              <w:rPr>
                <w:b w:val="0"/>
                <w:sz w:val="16"/>
              </w:rPr>
              <w:t>Reads attribution: technology cost 1.4 points last quarter</w:t>
            </w:r>
          </w:p>
        </w:tc>
      </w:tr>
      <w:tr>
        <w:tc>
          <w:tcPr>
            <w:tcW w:type="dxa" w:w="1020"/>
            <w:shd w:val="clear" w:color="auto" w:fill="FAF6EA"/>
          </w:tcPr>
          <w:p>
            <w:pPr>
              <w:spacing w:after="20"/>
            </w:pPr>
            <w:r>
              <w:rPr>
                <w:b w:val="0"/>
                <w:sz w:val="16"/>
              </w:rPr>
              <w:t>Night</w:t>
            </w:r>
          </w:p>
        </w:tc>
        <w:tc>
          <w:tcPr>
            <w:tcW w:type="dxa" w:w="2835"/>
            <w:shd w:val="clear" w:color="auto" w:fill="FAF6EA"/>
          </w:tcPr>
          <w:p>
            <w:pPr>
              <w:spacing w:after="20"/>
            </w:pPr>
            <w:r>
              <w:rPr>
                <w:b w:val="0"/>
                <w:sz w:val="16"/>
              </w:rPr>
              <w:t>Rehearses the 'bank KYC' scam call with her daughter</w:t>
            </w:r>
          </w:p>
        </w:tc>
        <w:tc>
          <w:tcPr>
            <w:tcW w:type="dxa" w:w="2778"/>
            <w:shd w:val="clear" w:color="auto" w:fill="FAF6EA"/>
          </w:tcPr>
          <w:p>
            <w:pPr>
              <w:spacing w:after="20"/>
            </w:pPr>
            <w:r>
              <w:rPr>
                <w:b w:val="0"/>
                <w:sz w:val="16"/>
              </w:rPr>
              <w:t>Compares two funds for overlap</w:t>
            </w:r>
          </w:p>
        </w:tc>
        <w:tc>
          <w:tcPr>
            <w:tcW w:type="dxa" w:w="2778"/>
            <w:shd w:val="clear" w:color="auto" w:fill="FAF6EA"/>
          </w:tcPr>
          <w:p>
            <w:pPr>
              <w:spacing w:after="20"/>
            </w:pPr>
            <w:r>
              <w:rPr>
                <w:b w:val="0"/>
                <w:sz w:val="16"/>
              </w:rPr>
              <w:t>Exports the audit record for her adviser</w:t>
            </w:r>
          </w:p>
        </w:tc>
      </w:tr>
    </w:tbl>
    <w:p>
      <w:pPr>
        <w:spacing w:after="40"/>
      </w:pPr>
    </w:p>
    <w:p>
      <w:r>
        <w:rPr>
          <w:b w:val="0"/>
        </w:rPr>
        <w:t>The same engine serves all three. What changes is the channel, the language, the depth and who pays.</w:t>
      </w:r>
    </w:p>
    <w:p>
      <w:pPr>
        <w:pStyle w:val="Heading2"/>
      </w:pPr>
      <w:r>
        <w:t>Who benefits, and how</w:t>
      </w:r>
    </w:p>
    <w:tbl>
      <w:tblPr>
        <w:tblW w:type="auto" w:w="0"/>
        <w:jc w:val="center"/>
        <w:tblLayout w:type="fixed"/>
        <w:tblLook w:firstColumn="1" w:firstRow="1" w:lastColumn="0" w:lastRow="0" w:noHBand="0" w:noVBand="1" w:val="04A0"/>
        <w:tblBorders>
          <w:top w:val="single" w:sz="4" w:color="D8D0BC"/>
          <w:left w:val="single" w:sz="4" w:color="D8D0BC"/>
          <w:bottom w:val="single" w:sz="4" w:color="D8D0BC"/>
          <w:right w:val="single" w:sz="4" w:color="D8D0BC"/>
          <w:insideH w:val="single" w:sz="4" w:color="D8D0BC"/>
          <w:insideV w:val="single" w:sz="4" w:color="D8D0BC"/>
        </w:tblBorders>
      </w:tblPr>
      <w:tblGrid>
        <w:gridCol w:w="3175"/>
        <w:gridCol w:w="3175"/>
        <w:gridCol w:w="3175"/>
      </w:tblGrid>
      <w:tr>
        <w:tc>
          <w:tcPr>
            <w:tcW w:type="dxa" w:w="2268"/>
            <w:shd w:val="clear" w:color="auto" w:fill="2A2C31"/>
          </w:tcPr>
          <w:p>
            <w:pPr>
              <w:spacing w:after="20"/>
            </w:pPr>
            <w:r>
              <w:rPr>
                <w:b/>
                <w:color w:val="FFFFFF"/>
                <w:sz w:val="17"/>
              </w:rPr>
              <w:t>Stakeholder</w:t>
            </w:r>
          </w:p>
        </w:tc>
        <w:tc>
          <w:tcPr>
            <w:tcW w:type="dxa" w:w="3855"/>
            <w:shd w:val="clear" w:color="auto" w:fill="2A2C31"/>
          </w:tcPr>
          <w:p>
            <w:pPr>
              <w:spacing w:after="20"/>
            </w:pPr>
            <w:r>
              <w:rPr>
                <w:b/>
                <w:color w:val="FFFFFF"/>
                <w:sz w:val="17"/>
              </w:rPr>
              <w:t>How they benefit</w:t>
            </w:r>
          </w:p>
        </w:tc>
        <w:tc>
          <w:tcPr>
            <w:tcW w:type="dxa" w:w="3288"/>
            <w:shd w:val="clear" w:color="auto" w:fill="2A2C31"/>
          </w:tcPr>
          <w:p>
            <w:pPr>
              <w:spacing w:after="20"/>
            </w:pPr>
            <w:r>
              <w:rPr>
                <w:b/>
                <w:color w:val="FFFFFF"/>
                <w:sz w:val="17"/>
              </w:rPr>
              <w:t>What they see</w:t>
            </w:r>
          </w:p>
        </w:tc>
      </w:tr>
      <w:tr>
        <w:tc>
          <w:tcPr>
            <w:tcW w:type="dxa" w:w="2268"/>
          </w:tcPr>
          <w:p>
            <w:pPr>
              <w:spacing w:after="20"/>
            </w:pPr>
            <w:r>
              <w:rPr>
                <w:b w:val="0"/>
                <w:sz w:val="17"/>
              </w:rPr>
              <w:t>Underprivileged families</w:t>
            </w:r>
          </w:p>
        </w:tc>
        <w:tc>
          <w:tcPr>
            <w:tcW w:type="dxa" w:w="3855"/>
          </w:tcPr>
          <w:p>
            <w:pPr>
              <w:spacing w:after="20"/>
            </w:pPr>
            <w:r>
              <w:rPr>
                <w:b w:val="0"/>
                <w:sz w:val="17"/>
              </w:rPr>
              <w:t>Pay less interest, avoid fraud, claim benefits, plan lumpy income</w:t>
            </w:r>
          </w:p>
        </w:tc>
        <w:tc>
          <w:tcPr>
            <w:tcW w:type="dxa" w:w="3288"/>
          </w:tcPr>
          <w:p>
            <w:pPr>
              <w:spacing w:after="20"/>
            </w:pPr>
            <w:r>
              <w:rPr>
                <w:b w:val="0"/>
                <w:sz w:val="17"/>
              </w:rPr>
              <w:t>True cost of a loan, a scam refused, a scheme found, a payment traced</w:t>
            </w:r>
          </w:p>
        </w:tc>
      </w:tr>
      <w:tr>
        <w:tc>
          <w:tcPr>
            <w:tcW w:type="dxa" w:w="2268"/>
            <w:shd w:val="clear" w:color="auto" w:fill="FAF6EA"/>
          </w:tcPr>
          <w:p>
            <w:pPr>
              <w:spacing w:after="20"/>
            </w:pPr>
            <w:r>
              <w:rPr>
                <w:b w:val="0"/>
                <w:sz w:val="17"/>
              </w:rPr>
              <w:t>Women's self-help groups</w:t>
            </w:r>
          </w:p>
        </w:tc>
        <w:tc>
          <w:tcPr>
            <w:tcW w:type="dxa" w:w="3855"/>
            <w:shd w:val="clear" w:color="auto" w:fill="FAF6EA"/>
          </w:tcPr>
          <w:p>
            <w:pPr>
              <w:spacing w:after="20"/>
            </w:pPr>
            <w:r>
              <w:rPr>
                <w:b w:val="0"/>
                <w:sz w:val="17"/>
              </w:rPr>
              <w:t>Honest group accounts, member statements, meeting reports</w:t>
            </w:r>
          </w:p>
        </w:tc>
        <w:tc>
          <w:tcPr>
            <w:tcW w:type="dxa" w:w="3288"/>
            <w:shd w:val="clear" w:color="auto" w:fill="FAF6EA"/>
          </w:tcPr>
          <w:p>
            <w:pPr>
              <w:spacing w:after="20"/>
            </w:pPr>
            <w:r>
              <w:rPr>
                <w:b w:val="0"/>
                <w:sz w:val="17"/>
              </w:rPr>
              <w:t>A ledger that works offline and in Hindi</w:t>
            </w:r>
          </w:p>
        </w:tc>
      </w:tr>
      <w:tr>
        <w:tc>
          <w:tcPr>
            <w:tcW w:type="dxa" w:w="2268"/>
          </w:tcPr>
          <w:p>
            <w:pPr>
              <w:spacing w:after="20"/>
            </w:pPr>
            <w:r>
              <w:rPr>
                <w:b w:val="0"/>
                <w:sz w:val="17"/>
              </w:rPr>
              <w:t>Retail and middle-class investors</w:t>
            </w:r>
          </w:p>
        </w:tc>
        <w:tc>
          <w:tcPr>
            <w:tcW w:type="dxa" w:w="3855"/>
          </w:tcPr>
          <w:p>
            <w:pPr>
              <w:spacing w:after="20"/>
            </w:pPr>
            <w:r>
              <w:rPr>
                <w:b w:val="0"/>
                <w:sz w:val="17"/>
              </w:rPr>
              <w:t>Lower fees, less duplication, better tax timing, fewer tip-driven mistakes</w:t>
            </w:r>
          </w:p>
        </w:tc>
        <w:tc>
          <w:tcPr>
            <w:tcW w:type="dxa" w:w="3288"/>
          </w:tcPr>
          <w:p>
            <w:pPr>
              <w:spacing w:after="20"/>
            </w:pPr>
            <w:r>
              <w:rPr>
                <w:b w:val="0"/>
                <w:sz w:val="17"/>
              </w:rPr>
              <w:t>Fee drag, overlap, tax shield, plain research with confidence marks</w:t>
            </w:r>
          </w:p>
        </w:tc>
      </w:tr>
      <w:tr>
        <w:tc>
          <w:tcPr>
            <w:tcW w:type="dxa" w:w="2268"/>
            <w:shd w:val="clear" w:color="auto" w:fill="FAF6EA"/>
          </w:tcPr>
          <w:p>
            <w:pPr>
              <w:spacing w:after="20"/>
            </w:pPr>
            <w:r>
              <w:rPr>
                <w:b w:val="0"/>
                <w:sz w:val="17"/>
              </w:rPr>
              <w:t>Affluent investors and advisers</w:t>
            </w:r>
          </w:p>
        </w:tc>
        <w:tc>
          <w:tcPr>
            <w:tcW w:type="dxa" w:w="3855"/>
            <w:shd w:val="clear" w:color="auto" w:fill="FAF6EA"/>
          </w:tcPr>
          <w:p>
            <w:pPr>
              <w:spacing w:after="20"/>
            </w:pPr>
            <w:r>
              <w:rPr>
                <w:b w:val="0"/>
                <w:sz w:val="17"/>
              </w:rPr>
              <w:t>Enforced limits and a provable record</w:t>
            </w:r>
          </w:p>
        </w:tc>
        <w:tc>
          <w:tcPr>
            <w:tcW w:type="dxa" w:w="3288"/>
            <w:shd w:val="clear" w:color="auto" w:fill="FAF6EA"/>
          </w:tcPr>
          <w:p>
            <w:pPr>
              <w:spacing w:after="20"/>
            </w:pPr>
            <w:r>
              <w:rPr>
                <w:b w:val="0"/>
                <w:sz w:val="17"/>
              </w:rPr>
              <w:t>Firewall verdicts, audit chain, attribution</w:t>
            </w:r>
          </w:p>
        </w:tc>
      </w:tr>
      <w:tr>
        <w:tc>
          <w:tcPr>
            <w:tcW w:type="dxa" w:w="2268"/>
          </w:tcPr>
          <w:p>
            <w:pPr>
              <w:spacing w:after="20"/>
            </w:pPr>
            <w:r>
              <w:rPr>
                <w:b w:val="0"/>
                <w:sz w:val="17"/>
              </w:rPr>
              <w:t>Banks, co-operatives, MFIs</w:t>
            </w:r>
          </w:p>
        </w:tc>
        <w:tc>
          <w:tcPr>
            <w:tcW w:type="dxa" w:w="3855"/>
          </w:tcPr>
          <w:p>
            <w:pPr>
              <w:spacing w:after="20"/>
            </w:pPr>
            <w:r>
              <w:rPr>
                <w:b w:val="0"/>
                <w:sz w:val="17"/>
              </w:rPr>
              <w:t>Fewer fraud losses and complaints; better outreach to first-time customers</w:t>
            </w:r>
          </w:p>
        </w:tc>
        <w:tc>
          <w:tcPr>
            <w:tcW w:type="dxa" w:w="3288"/>
          </w:tcPr>
          <w:p>
            <w:pPr>
              <w:spacing w:after="20"/>
            </w:pPr>
            <w:r>
              <w:rPr>
                <w:b w:val="0"/>
                <w:sz w:val="17"/>
              </w:rPr>
              <w:t>A white-label shield and a messaging channel</w:t>
            </w:r>
          </w:p>
        </w:tc>
      </w:tr>
      <w:tr>
        <w:tc>
          <w:tcPr>
            <w:tcW w:type="dxa" w:w="2268"/>
            <w:shd w:val="clear" w:color="auto" w:fill="FAF6EA"/>
          </w:tcPr>
          <w:p>
            <w:pPr>
              <w:spacing w:after="20"/>
            </w:pPr>
            <w:r>
              <w:rPr>
                <w:b w:val="0"/>
                <w:sz w:val="17"/>
              </w:rPr>
              <w:t>Government missions and NGOs</w:t>
            </w:r>
          </w:p>
        </w:tc>
        <w:tc>
          <w:tcPr>
            <w:tcW w:type="dxa" w:w="3855"/>
            <w:shd w:val="clear" w:color="auto" w:fill="FAF6EA"/>
          </w:tcPr>
          <w:p>
            <w:pPr>
              <w:spacing w:after="20"/>
            </w:pPr>
            <w:r>
              <w:rPr>
                <w:b w:val="0"/>
                <w:sz w:val="17"/>
              </w:rPr>
              <w:t>Higher scheme uptake and measurable literacy outcomes</w:t>
            </w:r>
          </w:p>
        </w:tc>
        <w:tc>
          <w:tcPr>
            <w:tcW w:type="dxa" w:w="3288"/>
            <w:shd w:val="clear" w:color="auto" w:fill="FAF6EA"/>
          </w:tcPr>
          <w:p>
            <w:pPr>
              <w:spacing w:after="20"/>
            </w:pPr>
            <w:r>
              <w:rPr>
                <w:b w:val="0"/>
                <w:sz w:val="17"/>
              </w:rPr>
              <w:t>An impact dashboard from the pilot onward</w:t>
            </w:r>
          </w:p>
        </w:tc>
      </w:tr>
      <w:tr>
        <w:tc>
          <w:tcPr>
            <w:tcW w:type="dxa" w:w="2268"/>
          </w:tcPr>
          <w:p>
            <w:pPr>
              <w:spacing w:after="20"/>
            </w:pPr>
            <w:r>
              <w:rPr>
                <w:b w:val="0"/>
                <w:sz w:val="17"/>
              </w:rPr>
              <w:t>Society</w:t>
            </w:r>
          </w:p>
        </w:tc>
        <w:tc>
          <w:tcPr>
            <w:tcW w:type="dxa" w:w="3855"/>
          </w:tcPr>
          <w:p>
            <w:pPr>
              <w:spacing w:after="20"/>
            </w:pPr>
            <w:r>
              <w:rPr>
                <w:b w:val="0"/>
                <w:sz w:val="17"/>
              </w:rPr>
              <w:t>Less money lost to fraud and predatory credit; more trusted advice</w:t>
            </w:r>
          </w:p>
        </w:tc>
        <w:tc>
          <w:tcPr>
            <w:tcW w:type="dxa" w:w="3288"/>
          </w:tcPr>
          <w:p>
            <w:pPr>
              <w:spacing w:after="20"/>
            </w:pPr>
            <w:r>
              <w:rPr>
                <w:b w:val="0"/>
                <w:sz w:val="17"/>
              </w:rPr>
              <w:t>Stronger household balance sheets</w:t>
            </w:r>
          </w:p>
        </w:tc>
      </w:tr>
    </w:tbl>
    <w:p>
      <w:pPr>
        <w:spacing w:after="40"/>
      </w:pPr>
    </w:p>
    <w:p>
      <w:pPr>
        <w:pStyle w:val="Heading2"/>
      </w:pPr>
      <w:r>
        <w:t>Why now</w:t>
      </w:r>
    </w:p>
    <w:p>
      <w:pPr>
        <w:pStyle w:val="ListBullet"/>
        <w:spacing w:after="40"/>
      </w:pPr>
      <w:r>
        <w:rPr>
          <w:b w:val="0"/>
        </w:rPr>
        <w:t>Payments are digital but safe use lags, and fraud rises with every new user.</w:t>
      </w:r>
    </w:p>
    <w:p>
      <w:pPr>
        <w:pStyle w:val="ListBullet"/>
        <w:spacing w:after="40"/>
      </w:pPr>
      <w:r>
        <w:rPr>
          <w:b w:val="0"/>
        </w:rPr>
        <w:t>WhatsApp and voice notes are already how many first-time smartphone users communicate.</w:t>
      </w:r>
    </w:p>
    <w:p>
      <w:pPr>
        <w:pStyle w:val="ListBullet"/>
        <w:spacing w:after="40"/>
      </w:pPr>
      <w:r>
        <w:rPr>
          <w:b w:val="0"/>
        </w:rPr>
        <w:t>Local speech recognition and small local models are now good enough to run on one machine.</w:t>
      </w:r>
    </w:p>
    <w:p>
      <w:pPr>
        <w:pStyle w:val="ListBullet"/>
        <w:spacing w:after="40"/>
      </w:pPr>
      <w:r>
        <w:rPr>
          <w:b w:val="0"/>
        </w:rPr>
        <w:t>Regulators and banks are under pressure to show financial-inclusion outcomes and reduce fraud.</w:t>
      </w:r>
    </w:p>
    <w:p>
      <w:pPr>
        <w:pStyle w:val="Heading1"/>
        <w:pageBreakBefore/>
      </w:pPr>
      <w:r>
        <w:t>11. Complete feature catalogue</w:t>
      </w:r>
    </w:p>
    <w:p>
      <w:pPr>
        <w:keepNext/>
        <w:spacing w:after="40"/>
        <w:jc w:val="center"/>
      </w:pPr>
      <w:r>
        <w:drawing>
          <wp:inline xmlns:a="http://schemas.openxmlformats.org/drawingml/2006/main" xmlns:pic="http://schemas.openxmlformats.org/drawingml/2006/picture">
            <wp:extent cx="5328000" cy="2996347"/>
            <wp:docPr id="14" name="Picture 14"/>
            <wp:cNvGraphicFramePr>
              <a:graphicFrameLocks noChangeAspect="1"/>
            </wp:cNvGraphicFramePr>
            <a:graphic>
              <a:graphicData uri="http://schemas.openxmlformats.org/drawingml/2006/picture">
                <pic:pic>
                  <pic:nvPicPr>
                    <pic:cNvPr id="0" name="matrix.png"/>
                    <pic:cNvPicPr/>
                  </pic:nvPicPr>
                  <pic:blipFill>
                    <a:blip r:embed="rId22"/>
                    <a:stretch>
                      <a:fillRect/>
                    </a:stretch>
                  </pic:blipFill>
                  <pic:spPr>
                    <a:xfrm>
                      <a:off x="0" y="0"/>
                      <a:ext cx="5328000" cy="2996347"/>
                    </a:xfrm>
                    <a:prstGeom prst="rect"/>
                  </pic:spPr>
                </pic:pic>
              </a:graphicData>
            </a:graphic>
          </wp:inline>
        </w:drawing>
      </w:r>
    </w:p>
    <w:p>
      <w:pPr>
        <w:spacing w:after="160"/>
        <w:jc w:val="center"/>
      </w:pPr>
      <w:r>
        <w:rPr>
          <w:b w:val="0"/>
          <w:i/>
          <w:color w:val="6B675C"/>
          <w:sz w:val="17"/>
        </w:rPr>
        <w:t>Figure 14. Which feature matters to which group (core, good, some). The majority-first bias is visible in the top rows.</w:t>
      </w:r>
    </w:p>
    <w:tbl>
      <w:tblPr>
        <w:tblW w:type="auto" w:w="0"/>
        <w:jc w:val="center"/>
        <w:tblLayout w:type="fixed"/>
        <w:tblLook w:firstColumn="1" w:firstRow="1" w:lastColumn="0" w:lastRow="0" w:noHBand="0" w:noVBand="1" w:val="04A0"/>
        <w:tblBorders>
          <w:top w:val="single" w:sz="4" w:color="D8D0BC"/>
          <w:left w:val="single" w:sz="4" w:color="D8D0BC"/>
          <w:bottom w:val="single" w:sz="4" w:color="D8D0BC"/>
          <w:right w:val="single" w:sz="4" w:color="D8D0BC"/>
          <w:insideH w:val="single" w:sz="4" w:color="D8D0BC"/>
          <w:insideV w:val="single" w:sz="4" w:color="D8D0BC"/>
        </w:tblBorders>
      </w:tblPr>
      <w:tblGrid>
        <w:gridCol w:w="1905"/>
        <w:gridCol w:w="1905"/>
        <w:gridCol w:w="1905"/>
        <w:gridCol w:w="1905"/>
        <w:gridCol w:w="1905"/>
      </w:tblGrid>
      <w:tr>
        <w:tc>
          <w:tcPr>
            <w:tcW w:type="dxa" w:w="1247"/>
            <w:shd w:val="clear" w:color="auto" w:fill="2A2C31"/>
          </w:tcPr>
          <w:p>
            <w:pPr>
              <w:spacing w:after="20"/>
            </w:pPr>
            <w:r>
              <w:rPr>
                <w:b/>
                <w:color w:val="FFFFFF"/>
                <w:sz w:val="16"/>
              </w:rPr>
              <w:t>Area</w:t>
            </w:r>
          </w:p>
        </w:tc>
        <w:tc>
          <w:tcPr>
            <w:tcW w:type="dxa" w:w="2381"/>
            <w:shd w:val="clear" w:color="auto" w:fill="2A2C31"/>
          </w:tcPr>
          <w:p>
            <w:pPr>
              <w:spacing w:after="20"/>
            </w:pPr>
            <w:r>
              <w:rPr>
                <w:b/>
                <w:color w:val="FFFFFF"/>
                <w:sz w:val="16"/>
              </w:rPr>
              <w:t>Feature</w:t>
            </w:r>
          </w:p>
        </w:tc>
        <w:tc>
          <w:tcPr>
            <w:tcW w:type="dxa" w:w="2211"/>
            <w:shd w:val="clear" w:color="auto" w:fill="2A2C31"/>
          </w:tcPr>
          <w:p>
            <w:pPr>
              <w:spacing w:after="20"/>
            </w:pPr>
            <w:r>
              <w:rPr>
                <w:b/>
                <w:color w:val="FFFFFF"/>
                <w:sz w:val="16"/>
              </w:rPr>
              <w:t>Use case</w:t>
            </w:r>
          </w:p>
        </w:tc>
        <w:tc>
          <w:tcPr>
            <w:tcW w:type="dxa" w:w="2041"/>
            <w:shd w:val="clear" w:color="auto" w:fill="2A2C31"/>
          </w:tcPr>
          <w:p>
            <w:pPr>
              <w:spacing w:after="20"/>
            </w:pPr>
            <w:r>
              <w:rPr>
                <w:b/>
                <w:color w:val="FFFFFF"/>
                <w:sz w:val="16"/>
              </w:rPr>
              <w:t>Problem it solves</w:t>
            </w:r>
          </w:p>
        </w:tc>
        <w:tc>
          <w:tcPr>
            <w:tcW w:type="dxa" w:w="1531"/>
            <w:shd w:val="clear" w:color="auto" w:fill="2A2C31"/>
          </w:tcPr>
          <w:p>
            <w:pPr>
              <w:spacing w:after="20"/>
            </w:pPr>
            <w:r>
              <w:rPr>
                <w:b/>
                <w:color w:val="FFFFFF"/>
                <w:sz w:val="16"/>
              </w:rPr>
              <w:t>Primary user</w:t>
            </w:r>
          </w:p>
        </w:tc>
      </w:tr>
      <w:tr>
        <w:tc>
          <w:tcPr>
            <w:tcW w:type="dxa" w:w="1247"/>
          </w:tcPr>
          <w:p>
            <w:pPr>
              <w:spacing w:after="20"/>
            </w:pPr>
            <w:r>
              <w:rPr>
                <w:b w:val="0"/>
                <w:sz w:val="16"/>
              </w:rPr>
              <w:t>Assistant</w:t>
            </w:r>
          </w:p>
        </w:tc>
        <w:tc>
          <w:tcPr>
            <w:tcW w:type="dxa" w:w="2381"/>
          </w:tcPr>
          <w:p>
            <w:pPr>
              <w:spacing w:after="20"/>
            </w:pPr>
            <w:r>
              <w:rPr>
                <w:b w:val="0"/>
                <w:sz w:val="16"/>
              </w:rPr>
              <w:t>Chat + voice orb</w:t>
            </w:r>
          </w:p>
        </w:tc>
        <w:tc>
          <w:tcPr>
            <w:tcW w:type="dxa" w:w="2211"/>
          </w:tcPr>
          <w:p>
            <w:pPr>
              <w:spacing w:after="20"/>
            </w:pPr>
            <w:r>
              <w:rPr>
                <w:b w:val="0"/>
                <w:sz w:val="16"/>
              </w:rPr>
              <w:t>Ask in words or speech</w:t>
            </w:r>
          </w:p>
        </w:tc>
        <w:tc>
          <w:tcPr>
            <w:tcW w:type="dxa" w:w="2041"/>
          </w:tcPr>
          <w:p>
            <w:pPr>
              <w:spacing w:after="20"/>
            </w:pPr>
            <w:r>
              <w:rPr>
                <w:b w:val="0"/>
                <w:sz w:val="16"/>
              </w:rPr>
              <w:t>Hard to find the right tool</w:t>
            </w:r>
          </w:p>
        </w:tc>
        <w:tc>
          <w:tcPr>
            <w:tcW w:type="dxa" w:w="1531"/>
          </w:tcPr>
          <w:p>
            <w:pPr>
              <w:spacing w:after="20"/>
            </w:pPr>
            <w:r>
              <w:rPr>
                <w:b w:val="0"/>
                <w:sz w:val="16"/>
              </w:rPr>
              <w:t>All</w:t>
            </w:r>
          </w:p>
        </w:tc>
      </w:tr>
      <w:tr>
        <w:tc>
          <w:tcPr>
            <w:tcW w:type="dxa" w:w="1247"/>
            <w:shd w:val="clear" w:color="auto" w:fill="FAF6EA"/>
          </w:tcPr>
          <w:p>
            <w:pPr>
              <w:spacing w:after="20"/>
            </w:pPr>
            <w:r>
              <w:rPr>
                <w:b w:val="0"/>
                <w:sz w:val="16"/>
              </w:rPr>
              <w:t>Assistant</w:t>
            </w:r>
          </w:p>
        </w:tc>
        <w:tc>
          <w:tcPr>
            <w:tcW w:type="dxa" w:w="2381"/>
            <w:shd w:val="clear" w:color="auto" w:fill="FAF6EA"/>
          </w:tcPr>
          <w:p>
            <w:pPr>
              <w:spacing w:after="20"/>
            </w:pPr>
            <w:r>
              <w:rPr>
                <w:b w:val="0"/>
                <w:sz w:val="16"/>
              </w:rPr>
              <w:t>Guided tours (25)</w:t>
            </w:r>
          </w:p>
        </w:tc>
        <w:tc>
          <w:tcPr>
            <w:tcW w:type="dxa" w:w="2211"/>
            <w:shd w:val="clear" w:color="auto" w:fill="FAF6EA"/>
          </w:tcPr>
          <w:p>
            <w:pPr>
              <w:spacing w:after="20"/>
            </w:pPr>
            <w:r>
              <w:rPr>
                <w:b w:val="0"/>
                <w:sz w:val="16"/>
              </w:rPr>
              <w:t>Learn a feature by watching it</w:t>
            </w:r>
          </w:p>
        </w:tc>
        <w:tc>
          <w:tcPr>
            <w:tcW w:type="dxa" w:w="2041"/>
            <w:shd w:val="clear" w:color="auto" w:fill="FAF6EA"/>
          </w:tcPr>
          <w:p>
            <w:pPr>
              <w:spacing w:after="20"/>
            </w:pPr>
            <w:r>
              <w:rPr>
                <w:b w:val="0"/>
                <w:sz w:val="16"/>
              </w:rPr>
              <w:t>Training cost, low literacy</w:t>
            </w:r>
          </w:p>
        </w:tc>
        <w:tc>
          <w:tcPr>
            <w:tcW w:type="dxa" w:w="1531"/>
            <w:shd w:val="clear" w:color="auto" w:fill="FAF6EA"/>
          </w:tcPr>
          <w:p>
            <w:pPr>
              <w:spacing w:after="20"/>
            </w:pPr>
            <w:r>
              <w:rPr>
                <w:b w:val="0"/>
                <w:sz w:val="16"/>
              </w:rPr>
              <w:t>All</w:t>
            </w:r>
          </w:p>
        </w:tc>
      </w:tr>
      <w:tr>
        <w:tc>
          <w:tcPr>
            <w:tcW w:type="dxa" w:w="1247"/>
          </w:tcPr>
          <w:p>
            <w:pPr>
              <w:spacing w:after="20"/>
            </w:pPr>
            <w:r>
              <w:rPr>
                <w:b w:val="0"/>
                <w:sz w:val="16"/>
              </w:rPr>
              <w:t>Assistant</w:t>
            </w:r>
          </w:p>
        </w:tc>
        <w:tc>
          <w:tcPr>
            <w:tcW w:type="dxa" w:w="2381"/>
          </w:tcPr>
          <w:p>
            <w:pPr>
              <w:spacing w:after="20"/>
            </w:pPr>
            <w:r>
              <w:rPr>
                <w:b w:val="0"/>
                <w:sz w:val="16"/>
              </w:rPr>
              <w:t>Concept answers (32)</w:t>
            </w:r>
          </w:p>
        </w:tc>
        <w:tc>
          <w:tcPr>
            <w:tcW w:type="dxa" w:w="2211"/>
          </w:tcPr>
          <w:p>
            <w:pPr>
              <w:spacing w:after="20"/>
            </w:pPr>
            <w:r>
              <w:rPr>
                <w:b w:val="0"/>
                <w:sz w:val="16"/>
              </w:rPr>
              <w:t>General money questions</w:t>
            </w:r>
          </w:p>
        </w:tc>
        <w:tc>
          <w:tcPr>
            <w:tcW w:type="dxa" w:w="2041"/>
          </w:tcPr>
          <w:p>
            <w:pPr>
              <w:spacing w:after="20"/>
            </w:pPr>
            <w:r>
              <w:rPr>
                <w:b w:val="0"/>
                <w:sz w:val="16"/>
              </w:rPr>
              <w:t>No one to ask</w:t>
            </w:r>
          </w:p>
        </w:tc>
        <w:tc>
          <w:tcPr>
            <w:tcW w:type="dxa" w:w="1531"/>
          </w:tcPr>
          <w:p>
            <w:pPr>
              <w:spacing w:after="20"/>
            </w:pPr>
            <w:r>
              <w:rPr>
                <w:b w:val="0"/>
                <w:sz w:val="16"/>
              </w:rPr>
              <w:t>All</w:t>
            </w:r>
          </w:p>
        </w:tc>
      </w:tr>
      <w:tr>
        <w:tc>
          <w:tcPr>
            <w:tcW w:type="dxa" w:w="1247"/>
            <w:shd w:val="clear" w:color="auto" w:fill="FAF6EA"/>
          </w:tcPr>
          <w:p>
            <w:pPr>
              <w:spacing w:after="20"/>
            </w:pPr>
            <w:r>
              <w:rPr>
                <w:b w:val="0"/>
                <w:sz w:val="16"/>
              </w:rPr>
              <w:t>Protect</w:t>
            </w:r>
          </w:p>
        </w:tc>
        <w:tc>
          <w:tcPr>
            <w:tcW w:type="dxa" w:w="2381"/>
            <w:shd w:val="clear" w:color="auto" w:fill="FAF6EA"/>
          </w:tcPr>
          <w:p>
            <w:pPr>
              <w:spacing w:after="20"/>
            </w:pPr>
            <w:r>
              <w:rPr>
                <w:b w:val="0"/>
                <w:sz w:val="16"/>
              </w:rPr>
              <w:t>Scam scripts (9) + rehearsal</w:t>
            </w:r>
          </w:p>
        </w:tc>
        <w:tc>
          <w:tcPr>
            <w:tcW w:type="dxa" w:w="2211"/>
            <w:shd w:val="clear" w:color="auto" w:fill="FAF6EA"/>
          </w:tcPr>
          <w:p>
            <w:pPr>
              <w:spacing w:after="20"/>
            </w:pPr>
            <w:r>
              <w:rPr>
                <w:b w:val="0"/>
                <w:sz w:val="16"/>
              </w:rPr>
              <w:t>Recognise and refuse a scam</w:t>
            </w:r>
          </w:p>
        </w:tc>
        <w:tc>
          <w:tcPr>
            <w:tcW w:type="dxa" w:w="2041"/>
            <w:shd w:val="clear" w:color="auto" w:fill="FAF6EA"/>
          </w:tcPr>
          <w:p>
            <w:pPr>
              <w:spacing w:after="20"/>
            </w:pPr>
            <w:r>
              <w:rPr>
                <w:b w:val="0"/>
                <w:sz w:val="16"/>
              </w:rPr>
              <w:t>Fraud losses</w:t>
            </w:r>
          </w:p>
        </w:tc>
        <w:tc>
          <w:tcPr>
            <w:tcW w:type="dxa" w:w="1531"/>
            <w:shd w:val="clear" w:color="auto" w:fill="FAF6EA"/>
          </w:tcPr>
          <w:p>
            <w:pPr>
              <w:spacing w:after="20"/>
            </w:pPr>
            <w:r>
              <w:rPr>
                <w:b w:val="0"/>
                <w:sz w:val="16"/>
              </w:rPr>
              <w:t>75%, 20%</w:t>
            </w:r>
          </w:p>
        </w:tc>
      </w:tr>
      <w:tr>
        <w:tc>
          <w:tcPr>
            <w:tcW w:type="dxa" w:w="1247"/>
          </w:tcPr>
          <w:p>
            <w:pPr>
              <w:spacing w:after="20"/>
            </w:pPr>
            <w:r>
              <w:rPr>
                <w:b w:val="0"/>
                <w:sz w:val="16"/>
              </w:rPr>
              <w:t>Protect</w:t>
            </w:r>
          </w:p>
        </w:tc>
        <w:tc>
          <w:tcPr>
            <w:tcW w:type="dxa" w:w="2381"/>
          </w:tcPr>
          <w:p>
            <w:pPr>
              <w:spacing w:after="20"/>
            </w:pPr>
            <w:r>
              <w:rPr>
                <w:b w:val="0"/>
                <w:sz w:val="16"/>
              </w:rPr>
              <w:t>Recovery coach</w:t>
            </w:r>
          </w:p>
        </w:tc>
        <w:tc>
          <w:tcPr>
            <w:tcW w:type="dxa" w:w="2211"/>
          </w:tcPr>
          <w:p>
            <w:pPr>
              <w:spacing w:after="20"/>
            </w:pPr>
            <w:r>
              <w:rPr>
                <w:b w:val="0"/>
                <w:sz w:val="16"/>
              </w:rPr>
              <w:t>First hour after a scam</w:t>
            </w:r>
          </w:p>
        </w:tc>
        <w:tc>
          <w:tcPr>
            <w:tcW w:type="dxa" w:w="2041"/>
          </w:tcPr>
          <w:p>
            <w:pPr>
              <w:spacing w:after="20"/>
            </w:pPr>
            <w:r>
              <w:rPr>
                <w:b w:val="0"/>
                <w:sz w:val="16"/>
              </w:rPr>
              <w:t>Panic, wrong steps</w:t>
            </w:r>
          </w:p>
        </w:tc>
        <w:tc>
          <w:tcPr>
            <w:tcW w:type="dxa" w:w="1531"/>
          </w:tcPr>
          <w:p>
            <w:pPr>
              <w:spacing w:after="20"/>
            </w:pPr>
            <w:r>
              <w:rPr>
                <w:b w:val="0"/>
                <w:sz w:val="16"/>
              </w:rPr>
              <w:t>All</w:t>
            </w:r>
          </w:p>
        </w:tc>
      </w:tr>
      <w:tr>
        <w:tc>
          <w:tcPr>
            <w:tcW w:type="dxa" w:w="1247"/>
            <w:shd w:val="clear" w:color="auto" w:fill="FAF6EA"/>
          </w:tcPr>
          <w:p>
            <w:pPr>
              <w:spacing w:after="20"/>
            </w:pPr>
            <w:r>
              <w:rPr>
                <w:b w:val="0"/>
                <w:sz w:val="16"/>
              </w:rPr>
              <w:t>Protect</w:t>
            </w:r>
          </w:p>
        </w:tc>
        <w:tc>
          <w:tcPr>
            <w:tcW w:type="dxa" w:w="2381"/>
            <w:shd w:val="clear" w:color="auto" w:fill="FAF6EA"/>
          </w:tcPr>
          <w:p>
            <w:pPr>
              <w:spacing w:after="20"/>
            </w:pPr>
            <w:r>
              <w:rPr>
                <w:b w:val="0"/>
                <w:sz w:val="16"/>
              </w:rPr>
              <w:t>Tip checker</w:t>
            </w:r>
          </w:p>
        </w:tc>
        <w:tc>
          <w:tcPr>
            <w:tcW w:type="dxa" w:w="2211"/>
            <w:shd w:val="clear" w:color="auto" w:fill="FAF6EA"/>
          </w:tcPr>
          <w:p>
            <w:pPr>
              <w:spacing w:after="20"/>
            </w:pPr>
            <w:r>
              <w:rPr>
                <w:b w:val="0"/>
                <w:sz w:val="16"/>
              </w:rPr>
              <w:t>Verify a Telegram/WhatsApp tip</w:t>
            </w:r>
          </w:p>
        </w:tc>
        <w:tc>
          <w:tcPr>
            <w:tcW w:type="dxa" w:w="2041"/>
            <w:shd w:val="clear" w:color="auto" w:fill="FAF6EA"/>
          </w:tcPr>
          <w:p>
            <w:pPr>
              <w:spacing w:after="20"/>
            </w:pPr>
            <w:r>
              <w:rPr>
                <w:b w:val="0"/>
                <w:sz w:val="16"/>
              </w:rPr>
              <w:t>Influencer fraud</w:t>
            </w:r>
          </w:p>
        </w:tc>
        <w:tc>
          <w:tcPr>
            <w:tcW w:type="dxa" w:w="1531"/>
            <w:shd w:val="clear" w:color="auto" w:fill="FAF6EA"/>
          </w:tcPr>
          <w:p>
            <w:pPr>
              <w:spacing w:after="20"/>
            </w:pPr>
            <w:r>
              <w:rPr>
                <w:b w:val="0"/>
                <w:sz w:val="16"/>
              </w:rPr>
              <w:t>20%, 75%</w:t>
            </w:r>
          </w:p>
        </w:tc>
      </w:tr>
      <w:tr>
        <w:tc>
          <w:tcPr>
            <w:tcW w:type="dxa" w:w="1247"/>
          </w:tcPr>
          <w:p>
            <w:pPr>
              <w:spacing w:after="20"/>
            </w:pPr>
            <w:r>
              <w:rPr>
                <w:b w:val="0"/>
                <w:sz w:val="16"/>
              </w:rPr>
              <w:t>Protect</w:t>
            </w:r>
          </w:p>
        </w:tc>
        <w:tc>
          <w:tcPr>
            <w:tcW w:type="dxa" w:w="2381"/>
          </w:tcPr>
          <w:p>
            <w:pPr>
              <w:spacing w:after="20"/>
            </w:pPr>
            <w:r>
              <w:rPr>
                <w:b w:val="0"/>
                <w:sz w:val="16"/>
              </w:rPr>
              <w:t>Tax shield, panic replay, standing rules</w:t>
            </w:r>
          </w:p>
        </w:tc>
        <w:tc>
          <w:tcPr>
            <w:tcW w:type="dxa" w:w="2211"/>
          </w:tcPr>
          <w:p>
            <w:pPr>
              <w:spacing w:after="20"/>
            </w:pPr>
            <w:r>
              <w:rPr>
                <w:b w:val="0"/>
                <w:sz w:val="16"/>
              </w:rPr>
              <w:t>Timing, behaviour, alerts</w:t>
            </w:r>
          </w:p>
        </w:tc>
        <w:tc>
          <w:tcPr>
            <w:tcW w:type="dxa" w:w="2041"/>
          </w:tcPr>
          <w:p>
            <w:pPr>
              <w:spacing w:after="20"/>
            </w:pPr>
            <w:r>
              <w:rPr>
                <w:b w:val="0"/>
                <w:sz w:val="16"/>
              </w:rPr>
              <w:t>Avoidable tax, panic selling</w:t>
            </w:r>
          </w:p>
        </w:tc>
        <w:tc>
          <w:tcPr>
            <w:tcW w:type="dxa" w:w="1531"/>
          </w:tcPr>
          <w:p>
            <w:pPr>
              <w:spacing w:after="20"/>
            </w:pPr>
            <w:r>
              <w:rPr>
                <w:b w:val="0"/>
                <w:sz w:val="16"/>
              </w:rPr>
              <w:t>20%, 5%</w:t>
            </w:r>
          </w:p>
        </w:tc>
      </w:tr>
      <w:tr>
        <w:tc>
          <w:tcPr>
            <w:tcW w:type="dxa" w:w="1247"/>
            <w:shd w:val="clear" w:color="auto" w:fill="FAF6EA"/>
          </w:tcPr>
          <w:p>
            <w:pPr>
              <w:spacing w:after="20"/>
            </w:pPr>
            <w:r>
              <w:rPr>
                <w:b w:val="0"/>
                <w:sz w:val="16"/>
              </w:rPr>
              <w:t>Rural</w:t>
            </w:r>
          </w:p>
        </w:tc>
        <w:tc>
          <w:tcPr>
            <w:tcW w:type="dxa" w:w="2381"/>
            <w:shd w:val="clear" w:color="auto" w:fill="FAF6EA"/>
          </w:tcPr>
          <w:p>
            <w:pPr>
              <w:spacing w:after="20"/>
            </w:pPr>
            <w:r>
              <w:rPr>
                <w:b w:val="0"/>
                <w:sz w:val="16"/>
              </w:rPr>
              <w:t>Twelve tools</w:t>
            </w:r>
          </w:p>
        </w:tc>
        <w:tc>
          <w:tcPr>
            <w:tcW w:type="dxa" w:w="2211"/>
            <w:shd w:val="clear" w:color="auto" w:fill="FAF6EA"/>
          </w:tcPr>
          <w:p>
            <w:pPr>
              <w:spacing w:after="20"/>
            </w:pPr>
            <w:r>
              <w:rPr>
                <w:b w:val="0"/>
                <w:sz w:val="16"/>
              </w:rPr>
              <w:t>Loans, schemes, papers, harvest</w:t>
            </w:r>
          </w:p>
        </w:tc>
        <w:tc>
          <w:tcPr>
            <w:tcW w:type="dxa" w:w="2041"/>
            <w:shd w:val="clear" w:color="auto" w:fill="FAF6EA"/>
          </w:tcPr>
          <w:p>
            <w:pPr>
              <w:spacing w:after="20"/>
            </w:pPr>
            <w:r>
              <w:rPr>
                <w:b w:val="0"/>
                <w:sz w:val="16"/>
              </w:rPr>
              <w:t>Debt traps, missed benefits</w:t>
            </w:r>
          </w:p>
        </w:tc>
        <w:tc>
          <w:tcPr>
            <w:tcW w:type="dxa" w:w="1531"/>
            <w:shd w:val="clear" w:color="auto" w:fill="FAF6EA"/>
          </w:tcPr>
          <w:p>
            <w:pPr>
              <w:spacing w:after="20"/>
            </w:pPr>
            <w:r>
              <w:rPr>
                <w:b w:val="0"/>
                <w:sz w:val="16"/>
              </w:rPr>
              <w:t>75%</w:t>
            </w:r>
          </w:p>
        </w:tc>
      </w:tr>
      <w:tr>
        <w:tc>
          <w:tcPr>
            <w:tcW w:type="dxa" w:w="1247"/>
          </w:tcPr>
          <w:p>
            <w:pPr>
              <w:spacing w:after="20"/>
            </w:pPr>
            <w:r>
              <w:rPr>
                <w:b w:val="0"/>
                <w:sz w:val="16"/>
              </w:rPr>
              <w:t>Messaging</w:t>
            </w:r>
          </w:p>
        </w:tc>
        <w:tc>
          <w:tcPr>
            <w:tcW w:type="dxa" w:w="2381"/>
          </w:tcPr>
          <w:p>
            <w:pPr>
              <w:spacing w:after="20"/>
            </w:pPr>
            <w:r>
              <w:rPr>
                <w:b w:val="0"/>
                <w:sz w:val="16"/>
              </w:rPr>
              <w:t>WhatsApp / SMS (14 options)</w:t>
            </w:r>
          </w:p>
        </w:tc>
        <w:tc>
          <w:tcPr>
            <w:tcW w:type="dxa" w:w="2211"/>
          </w:tcPr>
          <w:p>
            <w:pPr>
              <w:spacing w:after="20"/>
            </w:pPr>
            <w:r>
              <w:rPr>
                <w:b w:val="0"/>
                <w:sz w:val="16"/>
              </w:rPr>
              <w:t>Use without an app</w:t>
            </w:r>
          </w:p>
        </w:tc>
        <w:tc>
          <w:tcPr>
            <w:tcW w:type="dxa" w:w="2041"/>
          </w:tcPr>
          <w:p>
            <w:pPr>
              <w:spacing w:after="20"/>
            </w:pPr>
            <w:r>
              <w:rPr>
                <w:b w:val="0"/>
                <w:sz w:val="16"/>
              </w:rPr>
              <w:t>Access and language</w:t>
            </w:r>
          </w:p>
        </w:tc>
        <w:tc>
          <w:tcPr>
            <w:tcW w:type="dxa" w:w="1531"/>
          </w:tcPr>
          <w:p>
            <w:pPr>
              <w:spacing w:after="20"/>
            </w:pPr>
            <w:r>
              <w:rPr>
                <w:b w:val="0"/>
                <w:sz w:val="16"/>
              </w:rPr>
              <w:t>75%</w:t>
            </w:r>
          </w:p>
        </w:tc>
      </w:tr>
      <w:tr>
        <w:tc>
          <w:tcPr>
            <w:tcW w:type="dxa" w:w="1247"/>
            <w:shd w:val="clear" w:color="auto" w:fill="FAF6EA"/>
          </w:tcPr>
          <w:p>
            <w:pPr>
              <w:spacing w:after="20"/>
            </w:pPr>
            <w:r>
              <w:rPr>
                <w:b w:val="0"/>
                <w:sz w:val="16"/>
              </w:rPr>
              <w:t>Portfolio</w:t>
            </w:r>
          </w:p>
        </w:tc>
        <w:tc>
          <w:tcPr>
            <w:tcW w:type="dxa" w:w="2381"/>
            <w:shd w:val="clear" w:color="auto" w:fill="FAF6EA"/>
          </w:tcPr>
          <w:p>
            <w:pPr>
              <w:spacing w:after="20"/>
            </w:pPr>
            <w:r>
              <w:rPr>
                <w:b w:val="0"/>
                <w:sz w:val="16"/>
              </w:rPr>
              <w:t>X-ray, map, chart, actions</w:t>
            </w:r>
          </w:p>
        </w:tc>
        <w:tc>
          <w:tcPr>
            <w:tcW w:type="dxa" w:w="2211"/>
            <w:shd w:val="clear" w:color="auto" w:fill="FAF6EA"/>
          </w:tcPr>
          <w:p>
            <w:pPr>
              <w:spacing w:after="20"/>
            </w:pPr>
            <w:r>
              <w:rPr>
                <w:b w:val="0"/>
                <w:sz w:val="16"/>
              </w:rPr>
              <w:t>Understand holdings</w:t>
            </w:r>
          </w:p>
        </w:tc>
        <w:tc>
          <w:tcPr>
            <w:tcW w:type="dxa" w:w="2041"/>
            <w:shd w:val="clear" w:color="auto" w:fill="FAF6EA"/>
          </w:tcPr>
          <w:p>
            <w:pPr>
              <w:spacing w:after="20"/>
            </w:pPr>
            <w:r>
              <w:rPr>
                <w:b w:val="0"/>
                <w:sz w:val="16"/>
              </w:rPr>
              <w:t>Hidden concentration</w:t>
            </w:r>
          </w:p>
        </w:tc>
        <w:tc>
          <w:tcPr>
            <w:tcW w:type="dxa" w:w="1531"/>
            <w:shd w:val="clear" w:color="auto" w:fill="FAF6EA"/>
          </w:tcPr>
          <w:p>
            <w:pPr>
              <w:spacing w:after="20"/>
            </w:pPr>
            <w:r>
              <w:rPr>
                <w:b w:val="0"/>
                <w:sz w:val="16"/>
              </w:rPr>
              <w:t>20%, 5%</w:t>
            </w:r>
          </w:p>
        </w:tc>
      </w:tr>
      <w:tr>
        <w:tc>
          <w:tcPr>
            <w:tcW w:type="dxa" w:w="1247"/>
          </w:tcPr>
          <w:p>
            <w:pPr>
              <w:spacing w:after="20"/>
            </w:pPr>
            <w:r>
              <w:rPr>
                <w:b w:val="0"/>
                <w:sz w:val="16"/>
              </w:rPr>
              <w:t>Research</w:t>
            </w:r>
          </w:p>
        </w:tc>
        <w:tc>
          <w:tcPr>
            <w:tcW w:type="dxa" w:w="2381"/>
          </w:tcPr>
          <w:p>
            <w:pPr>
              <w:spacing w:after="20"/>
            </w:pPr>
            <w:r>
              <w:rPr>
                <w:b w:val="0"/>
                <w:sz w:val="16"/>
              </w:rPr>
              <w:t>Desks + plain summary + charts</w:t>
            </w:r>
          </w:p>
        </w:tc>
        <w:tc>
          <w:tcPr>
            <w:tcW w:type="dxa" w:w="2211"/>
          </w:tcPr>
          <w:p>
            <w:pPr>
              <w:spacing w:after="20"/>
            </w:pPr>
            <w:r>
              <w:rPr>
                <w:b w:val="0"/>
                <w:sz w:val="16"/>
              </w:rPr>
              <w:t>Study a company</w:t>
            </w:r>
          </w:p>
        </w:tc>
        <w:tc>
          <w:tcPr>
            <w:tcW w:type="dxa" w:w="2041"/>
          </w:tcPr>
          <w:p>
            <w:pPr>
              <w:spacing w:after="20"/>
            </w:pPr>
            <w:r>
              <w:rPr>
                <w:b w:val="0"/>
                <w:sz w:val="16"/>
              </w:rPr>
              <w:t>Price-only thinking</w:t>
            </w:r>
          </w:p>
        </w:tc>
        <w:tc>
          <w:tcPr>
            <w:tcW w:type="dxa" w:w="1531"/>
          </w:tcPr>
          <w:p>
            <w:pPr>
              <w:spacing w:after="20"/>
            </w:pPr>
            <w:r>
              <w:rPr>
                <w:b w:val="0"/>
                <w:sz w:val="16"/>
              </w:rPr>
              <w:t>20%, 5%</w:t>
            </w:r>
          </w:p>
        </w:tc>
      </w:tr>
      <w:tr>
        <w:tc>
          <w:tcPr>
            <w:tcW w:type="dxa" w:w="1247"/>
            <w:shd w:val="clear" w:color="auto" w:fill="FAF6EA"/>
          </w:tcPr>
          <w:p>
            <w:pPr>
              <w:spacing w:after="20"/>
            </w:pPr>
            <w:r>
              <w:rPr>
                <w:b w:val="0"/>
                <w:sz w:val="16"/>
              </w:rPr>
              <w:t>Practice</w:t>
            </w:r>
          </w:p>
        </w:tc>
        <w:tc>
          <w:tcPr>
            <w:tcW w:type="dxa" w:w="2381"/>
            <w:shd w:val="clear" w:color="auto" w:fill="FAF6EA"/>
          </w:tcPr>
          <w:p>
            <w:pPr>
              <w:spacing w:after="20"/>
            </w:pPr>
            <w:r>
              <w:rPr>
                <w:b w:val="0"/>
                <w:sz w:val="16"/>
              </w:rPr>
              <w:t>Fee, overlap, emergency, digest</w:t>
            </w:r>
          </w:p>
        </w:tc>
        <w:tc>
          <w:tcPr>
            <w:tcW w:type="dxa" w:w="2211"/>
            <w:shd w:val="clear" w:color="auto" w:fill="FAF6EA"/>
          </w:tcPr>
          <w:p>
            <w:pPr>
              <w:spacing w:after="20"/>
            </w:pPr>
            <w:r>
              <w:rPr>
                <w:b w:val="0"/>
                <w:sz w:val="16"/>
              </w:rPr>
              <w:t>Learn by doing</w:t>
            </w:r>
          </w:p>
        </w:tc>
        <w:tc>
          <w:tcPr>
            <w:tcW w:type="dxa" w:w="2041"/>
            <w:shd w:val="clear" w:color="auto" w:fill="FAF6EA"/>
          </w:tcPr>
          <w:p>
            <w:pPr>
              <w:spacing w:after="20"/>
            </w:pPr>
            <w:r>
              <w:rPr>
                <w:b w:val="0"/>
                <w:sz w:val="16"/>
              </w:rPr>
              <w:t>Hidden costs</w:t>
            </w:r>
          </w:p>
        </w:tc>
        <w:tc>
          <w:tcPr>
            <w:tcW w:type="dxa" w:w="1531"/>
            <w:shd w:val="clear" w:color="auto" w:fill="FAF6EA"/>
          </w:tcPr>
          <w:p>
            <w:pPr>
              <w:spacing w:after="20"/>
            </w:pPr>
            <w:r>
              <w:rPr>
                <w:b w:val="0"/>
                <w:sz w:val="16"/>
              </w:rPr>
              <w:t>20%</w:t>
            </w:r>
          </w:p>
        </w:tc>
      </w:tr>
      <w:tr>
        <w:tc>
          <w:tcPr>
            <w:tcW w:type="dxa" w:w="1247"/>
          </w:tcPr>
          <w:p>
            <w:pPr>
              <w:spacing w:after="20"/>
            </w:pPr>
            <w:r>
              <w:rPr>
                <w:b w:val="0"/>
                <w:sz w:val="16"/>
              </w:rPr>
              <w:t>Learn</w:t>
            </w:r>
          </w:p>
        </w:tc>
        <w:tc>
          <w:tcPr>
            <w:tcW w:type="dxa" w:w="2381"/>
          </w:tcPr>
          <w:p>
            <w:pPr>
              <w:spacing w:after="20"/>
            </w:pPr>
            <w:r>
              <w:rPr>
                <w:b w:val="0"/>
                <w:sz w:val="16"/>
              </w:rPr>
              <w:t>Goal fan, number doors, glossary</w:t>
            </w:r>
          </w:p>
        </w:tc>
        <w:tc>
          <w:tcPr>
            <w:tcW w:type="dxa" w:w="2211"/>
          </w:tcPr>
          <w:p>
            <w:pPr>
              <w:spacing w:after="20"/>
            </w:pPr>
            <w:r>
              <w:rPr>
                <w:b w:val="0"/>
                <w:sz w:val="16"/>
              </w:rPr>
              <w:t>Will I reach my goal?</w:t>
            </w:r>
          </w:p>
        </w:tc>
        <w:tc>
          <w:tcPr>
            <w:tcW w:type="dxa" w:w="2041"/>
          </w:tcPr>
          <w:p>
            <w:pPr>
              <w:spacing w:after="20"/>
            </w:pPr>
            <w:r>
              <w:rPr>
                <w:b w:val="0"/>
                <w:sz w:val="16"/>
              </w:rPr>
              <w:t>Opaque numbers</w:t>
            </w:r>
          </w:p>
        </w:tc>
        <w:tc>
          <w:tcPr>
            <w:tcW w:type="dxa" w:w="1531"/>
          </w:tcPr>
          <w:p>
            <w:pPr>
              <w:spacing w:after="20"/>
            </w:pPr>
            <w:r>
              <w:rPr>
                <w:b w:val="0"/>
                <w:sz w:val="16"/>
              </w:rPr>
              <w:t>20%</w:t>
            </w:r>
          </w:p>
        </w:tc>
      </w:tr>
      <w:tr>
        <w:tc>
          <w:tcPr>
            <w:tcW w:type="dxa" w:w="1247"/>
            <w:shd w:val="clear" w:color="auto" w:fill="FAF6EA"/>
          </w:tcPr>
          <w:p>
            <w:pPr>
              <w:spacing w:after="20"/>
            </w:pPr>
            <w:r>
              <w:rPr>
                <w:b w:val="0"/>
                <w:sz w:val="16"/>
              </w:rPr>
              <w:t>Govern</w:t>
            </w:r>
          </w:p>
        </w:tc>
        <w:tc>
          <w:tcPr>
            <w:tcW w:type="dxa" w:w="2381"/>
            <w:shd w:val="clear" w:color="auto" w:fill="FAF6EA"/>
          </w:tcPr>
          <w:p>
            <w:pPr>
              <w:spacing w:after="20"/>
            </w:pPr>
            <w:r>
              <w:rPr>
                <w:b w:val="0"/>
                <w:sz w:val="16"/>
              </w:rPr>
              <w:t>Firewall, rebalance, audit, tamper test</w:t>
            </w:r>
          </w:p>
        </w:tc>
        <w:tc>
          <w:tcPr>
            <w:tcW w:type="dxa" w:w="2211"/>
            <w:shd w:val="clear" w:color="auto" w:fill="FAF6EA"/>
          </w:tcPr>
          <w:p>
            <w:pPr>
              <w:spacing w:after="20"/>
            </w:pPr>
            <w:r>
              <w:rPr>
                <w:b w:val="0"/>
                <w:sz w:val="16"/>
              </w:rPr>
              <w:t>Discipline and proof</w:t>
            </w:r>
          </w:p>
        </w:tc>
        <w:tc>
          <w:tcPr>
            <w:tcW w:type="dxa" w:w="2041"/>
            <w:shd w:val="clear" w:color="auto" w:fill="FAF6EA"/>
          </w:tcPr>
          <w:p>
            <w:pPr>
              <w:spacing w:after="20"/>
            </w:pPr>
            <w:r>
              <w:rPr>
                <w:b w:val="0"/>
                <w:sz w:val="16"/>
              </w:rPr>
              <w:t>Overrides, edits</w:t>
            </w:r>
          </w:p>
        </w:tc>
        <w:tc>
          <w:tcPr>
            <w:tcW w:type="dxa" w:w="1531"/>
            <w:shd w:val="clear" w:color="auto" w:fill="FAF6EA"/>
          </w:tcPr>
          <w:p>
            <w:pPr>
              <w:spacing w:after="20"/>
            </w:pPr>
            <w:r>
              <w:rPr>
                <w:b w:val="0"/>
                <w:sz w:val="16"/>
              </w:rPr>
              <w:t>5%</w:t>
            </w:r>
          </w:p>
        </w:tc>
      </w:tr>
      <w:tr>
        <w:tc>
          <w:tcPr>
            <w:tcW w:type="dxa" w:w="1247"/>
          </w:tcPr>
          <w:p>
            <w:pPr>
              <w:spacing w:after="20"/>
            </w:pPr>
            <w:r>
              <w:rPr>
                <w:b w:val="0"/>
                <w:sz w:val="16"/>
              </w:rPr>
              <w:t>Platform</w:t>
            </w:r>
          </w:p>
        </w:tc>
        <w:tc>
          <w:tcPr>
            <w:tcW w:type="dxa" w:w="2381"/>
          </w:tcPr>
          <w:p>
            <w:pPr>
              <w:spacing w:after="20"/>
            </w:pPr>
            <w:r>
              <w:rPr>
                <w:b w:val="0"/>
                <w:sz w:val="16"/>
              </w:rPr>
              <w:t>Offline pack, kiosk, language, theme</w:t>
            </w:r>
          </w:p>
        </w:tc>
        <w:tc>
          <w:tcPr>
            <w:tcW w:type="dxa" w:w="2211"/>
          </w:tcPr>
          <w:p>
            <w:pPr>
              <w:spacing w:after="20"/>
            </w:pPr>
            <w:r>
              <w:rPr>
                <w:b w:val="0"/>
                <w:sz w:val="16"/>
              </w:rPr>
              <w:t>Deploy anywhere</w:t>
            </w:r>
          </w:p>
        </w:tc>
        <w:tc>
          <w:tcPr>
            <w:tcW w:type="dxa" w:w="2041"/>
          </w:tcPr>
          <w:p>
            <w:pPr>
              <w:spacing w:after="20"/>
            </w:pPr>
            <w:r>
              <w:rPr>
                <w:b w:val="0"/>
                <w:sz w:val="16"/>
              </w:rPr>
              <w:t>Connectivity, shared devices</w:t>
            </w:r>
          </w:p>
        </w:tc>
        <w:tc>
          <w:tcPr>
            <w:tcW w:type="dxa" w:w="1531"/>
          </w:tcPr>
          <w:p>
            <w:pPr>
              <w:spacing w:after="20"/>
            </w:pPr>
            <w:r>
              <w:rPr>
                <w:b w:val="0"/>
                <w:sz w:val="16"/>
              </w:rPr>
              <w:t>75%</w:t>
            </w:r>
          </w:p>
        </w:tc>
      </w:tr>
    </w:tbl>
    <w:p>
      <w:pPr>
        <w:spacing w:after="40"/>
      </w:pPr>
    </w:p>
    <w:p>
      <w:pPr>
        <w:pStyle w:val="Heading1"/>
        <w:pageBreakBefore/>
      </w:pPr>
      <w:r>
        <w:t>12. Technical deep dive</w:t>
      </w:r>
    </w:p>
    <w:p>
      <w:pPr>
        <w:keepNext/>
        <w:spacing w:after="40"/>
        <w:jc w:val="center"/>
      </w:pPr>
      <w:r>
        <w:drawing>
          <wp:inline xmlns:a="http://schemas.openxmlformats.org/drawingml/2006/main" xmlns:pic="http://schemas.openxmlformats.org/drawingml/2006/picture">
            <wp:extent cx="5112000" cy="3525822"/>
            <wp:docPr id="15" name="Picture 15"/>
            <wp:cNvGraphicFramePr>
              <a:graphicFrameLocks noChangeAspect="1"/>
            </wp:cNvGraphicFramePr>
            <a:graphic>
              <a:graphicData uri="http://schemas.openxmlformats.org/drawingml/2006/picture">
                <pic:pic>
                  <pic:nvPicPr>
                    <pic:cNvPr id="0" name="architecture.png"/>
                    <pic:cNvPicPr/>
                  </pic:nvPicPr>
                  <pic:blipFill>
                    <a:blip r:embed="rId23"/>
                    <a:stretch>
                      <a:fillRect/>
                    </a:stretch>
                  </pic:blipFill>
                  <pic:spPr>
                    <a:xfrm>
                      <a:off x="0" y="0"/>
                      <a:ext cx="5112000" cy="3525822"/>
                    </a:xfrm>
                    <a:prstGeom prst="rect"/>
                  </pic:spPr>
                </pic:pic>
              </a:graphicData>
            </a:graphic>
          </wp:inline>
        </w:drawing>
      </w:r>
    </w:p>
    <w:p>
      <w:pPr>
        <w:spacing w:after="160"/>
        <w:jc w:val="center"/>
      </w:pPr>
      <w:r>
        <w:rPr>
          <w:b w:val="0"/>
          <w:i/>
          <w:color w:val="6B675C"/>
          <w:sz w:val="17"/>
        </w:rPr>
        <w:t>Figure 15. Layers of the platform. Data flows up from the point-in-time store to the people at the top.</w:t>
      </w:r>
    </w:p>
    <w:p>
      <w:pPr>
        <w:keepNext/>
        <w:spacing w:after="40"/>
        <w:jc w:val="center"/>
      </w:pPr>
      <w:r>
        <w:drawing>
          <wp:inline xmlns:a="http://schemas.openxmlformats.org/drawingml/2006/main" xmlns:pic="http://schemas.openxmlformats.org/drawingml/2006/picture">
            <wp:extent cx="5400000" cy="2491570"/>
            <wp:docPr id="16" name="Picture 16"/>
            <wp:cNvGraphicFramePr>
              <a:graphicFrameLocks noChangeAspect="1"/>
            </wp:cNvGraphicFramePr>
            <a:graphic>
              <a:graphicData uri="http://schemas.openxmlformats.org/drawingml/2006/picture">
                <pic:pic>
                  <pic:nvPicPr>
                    <pic:cNvPr id="0" name="stack.png"/>
                    <pic:cNvPicPr/>
                  </pic:nvPicPr>
                  <pic:blipFill>
                    <a:blip r:embed="rId24"/>
                    <a:stretch>
                      <a:fillRect/>
                    </a:stretch>
                  </pic:blipFill>
                  <pic:spPr>
                    <a:xfrm>
                      <a:off x="0" y="0"/>
                      <a:ext cx="5400000" cy="2491570"/>
                    </a:xfrm>
                    <a:prstGeom prst="rect"/>
                  </pic:spPr>
                </pic:pic>
              </a:graphicData>
            </a:graphic>
          </wp:inline>
        </w:drawing>
      </w:r>
    </w:p>
    <w:p>
      <w:pPr>
        <w:spacing w:after="160"/>
        <w:jc w:val="center"/>
      </w:pPr>
      <w:r>
        <w:rPr>
          <w:b w:val="0"/>
          <w:i/>
          <w:color w:val="6B675C"/>
          <w:sz w:val="17"/>
        </w:rPr>
        <w:t>Figure 16. Technology stack. Everything is free and open source and runs on a single modest machine.</w:t>
      </w:r>
    </w:p>
    <w:p>
      <w:pPr>
        <w:pStyle w:val="Heading2"/>
      </w:pPr>
      <w:r>
        <w:t>Key design decisions</w:t>
      </w:r>
    </w:p>
    <w:tbl>
      <w:tblPr>
        <w:tblW w:type="auto" w:w="0"/>
        <w:jc w:val="center"/>
        <w:tblLayout w:type="fixed"/>
        <w:tblLook w:firstColumn="1" w:firstRow="1" w:lastColumn="0" w:lastRow="0" w:noHBand="0" w:noVBand="1" w:val="04A0"/>
        <w:tblBorders>
          <w:top w:val="single" w:sz="4" w:color="D8D0BC"/>
          <w:left w:val="single" w:sz="4" w:color="D8D0BC"/>
          <w:bottom w:val="single" w:sz="4" w:color="D8D0BC"/>
          <w:right w:val="single" w:sz="4" w:color="D8D0BC"/>
          <w:insideH w:val="single" w:sz="4" w:color="D8D0BC"/>
          <w:insideV w:val="single" w:sz="4" w:color="D8D0BC"/>
        </w:tblBorders>
      </w:tblPr>
      <w:tblGrid>
        <w:gridCol w:w="3175"/>
        <w:gridCol w:w="3175"/>
        <w:gridCol w:w="3175"/>
      </w:tblGrid>
      <w:tr>
        <w:tc>
          <w:tcPr>
            <w:tcW w:type="dxa" w:w="2948"/>
            <w:shd w:val="clear" w:color="auto" w:fill="2A2C31"/>
          </w:tcPr>
          <w:p>
            <w:pPr>
              <w:spacing w:after="20"/>
            </w:pPr>
            <w:r>
              <w:rPr>
                <w:b/>
                <w:color w:val="FFFFFF"/>
                <w:sz w:val="17"/>
              </w:rPr>
              <w:t>Decision</w:t>
            </w:r>
          </w:p>
        </w:tc>
        <w:tc>
          <w:tcPr>
            <w:tcW w:type="dxa" w:w="3175"/>
            <w:shd w:val="clear" w:color="auto" w:fill="2A2C31"/>
          </w:tcPr>
          <w:p>
            <w:pPr>
              <w:spacing w:after="20"/>
            </w:pPr>
            <w:r>
              <w:rPr>
                <w:b/>
                <w:color w:val="FFFFFF"/>
                <w:sz w:val="17"/>
              </w:rPr>
              <w:t>Reason</w:t>
            </w:r>
          </w:p>
        </w:tc>
        <w:tc>
          <w:tcPr>
            <w:tcW w:type="dxa" w:w="3288"/>
            <w:shd w:val="clear" w:color="auto" w:fill="2A2C31"/>
          </w:tcPr>
          <w:p>
            <w:pPr>
              <w:spacing w:after="20"/>
            </w:pPr>
            <w:r>
              <w:rPr>
                <w:b/>
                <w:color w:val="FFFFFF"/>
                <w:sz w:val="17"/>
              </w:rPr>
              <w:t>Consequence</w:t>
            </w:r>
          </w:p>
        </w:tc>
      </w:tr>
      <w:tr>
        <w:tc>
          <w:tcPr>
            <w:tcW w:type="dxa" w:w="2948"/>
          </w:tcPr>
          <w:p>
            <w:pPr>
              <w:spacing w:after="20"/>
            </w:pPr>
            <w:r>
              <w:rPr>
                <w:b w:val="0"/>
                <w:sz w:val="17"/>
              </w:rPr>
              <w:t>Deterministic calculators, not a model, for numbers</w:t>
            </w:r>
          </w:p>
        </w:tc>
        <w:tc>
          <w:tcPr>
            <w:tcW w:type="dxa" w:w="3175"/>
          </w:tcPr>
          <w:p>
            <w:pPr>
              <w:spacing w:after="20"/>
            </w:pPr>
            <w:r>
              <w:rPr>
                <w:b w:val="0"/>
                <w:sz w:val="17"/>
              </w:rPr>
              <w:t>A wrong rate or fee is worse than a slow answer</w:t>
            </w:r>
          </w:p>
        </w:tc>
        <w:tc>
          <w:tcPr>
            <w:tcW w:type="dxa" w:w="3288"/>
          </w:tcPr>
          <w:p>
            <w:pPr>
              <w:spacing w:after="20"/>
            </w:pPr>
            <w:r>
              <w:rPr>
                <w:b w:val="0"/>
                <w:sz w:val="17"/>
              </w:rPr>
              <w:t>Same question, same answer; every figure testable</w:t>
            </w:r>
          </w:p>
        </w:tc>
      </w:tr>
      <w:tr>
        <w:tc>
          <w:tcPr>
            <w:tcW w:type="dxa" w:w="2948"/>
            <w:shd w:val="clear" w:color="auto" w:fill="FAF6EA"/>
          </w:tcPr>
          <w:p>
            <w:pPr>
              <w:spacing w:after="20"/>
            </w:pPr>
            <w:r>
              <w:rPr>
                <w:b w:val="0"/>
                <w:sz w:val="17"/>
              </w:rPr>
              <w:t>Local first: speech, voice, data and optional model on the machine</w:t>
            </w:r>
          </w:p>
        </w:tc>
        <w:tc>
          <w:tcPr>
            <w:tcW w:type="dxa" w:w="3175"/>
            <w:shd w:val="clear" w:color="auto" w:fill="FAF6EA"/>
          </w:tcPr>
          <w:p>
            <w:pPr>
              <w:spacing w:after="20"/>
            </w:pPr>
            <w:r>
              <w:rPr>
                <w:b w:val="0"/>
                <w:sz w:val="17"/>
              </w:rPr>
              <w:t>Privacy, cost, no data needed once set up</w:t>
            </w:r>
          </w:p>
        </w:tc>
        <w:tc>
          <w:tcPr>
            <w:tcW w:type="dxa" w:w="3288"/>
            <w:shd w:val="clear" w:color="auto" w:fill="FAF6EA"/>
          </w:tcPr>
          <w:p>
            <w:pPr>
              <w:spacing w:after="20"/>
            </w:pPr>
            <w:r>
              <w:rPr>
                <w:b w:val="0"/>
                <w:sz w:val="17"/>
              </w:rPr>
              <w:t>Works offline; no per-question cloud bill</w:t>
            </w:r>
          </w:p>
        </w:tc>
      </w:tr>
      <w:tr>
        <w:tc>
          <w:tcPr>
            <w:tcW w:type="dxa" w:w="2948"/>
          </w:tcPr>
          <w:p>
            <w:pPr>
              <w:spacing w:after="20"/>
            </w:pPr>
            <w:r>
              <w:rPr>
                <w:b w:val="0"/>
                <w:sz w:val="17"/>
              </w:rPr>
              <w:t>Point-in-time store: every read is filtered by a clock</w:t>
            </w:r>
          </w:p>
        </w:tc>
        <w:tc>
          <w:tcPr>
            <w:tcW w:type="dxa" w:w="3175"/>
          </w:tcPr>
          <w:p>
            <w:pPr>
              <w:spacing w:after="20"/>
            </w:pPr>
            <w:r>
              <w:rPr>
                <w:b w:val="0"/>
                <w:sz w:val="17"/>
              </w:rPr>
              <w:t>Prevents hindsight in research and in the time machine</w:t>
            </w:r>
          </w:p>
        </w:tc>
        <w:tc>
          <w:tcPr>
            <w:tcW w:type="dxa" w:w="3288"/>
          </w:tcPr>
          <w:p>
            <w:pPr>
              <w:spacing w:after="20"/>
            </w:pPr>
            <w:r>
              <w:rPr>
                <w:b w:val="0"/>
                <w:sz w:val="17"/>
              </w:rPr>
              <w:t>Credible backtests and honest 'what was known then'</w:t>
            </w:r>
          </w:p>
        </w:tc>
      </w:tr>
      <w:tr>
        <w:tc>
          <w:tcPr>
            <w:tcW w:type="dxa" w:w="2948"/>
            <w:shd w:val="clear" w:color="auto" w:fill="FAF6EA"/>
          </w:tcPr>
          <w:p>
            <w:pPr>
              <w:spacing w:after="20"/>
            </w:pPr>
            <w:r>
              <w:rPr>
                <w:b w:val="0"/>
                <w:sz w:val="17"/>
              </w:rPr>
              <w:t>Hand-written bilingual text, closed-list model picking</w:t>
            </w:r>
          </w:p>
        </w:tc>
        <w:tc>
          <w:tcPr>
            <w:tcW w:type="dxa" w:w="3175"/>
            <w:shd w:val="clear" w:color="auto" w:fill="FAF6EA"/>
          </w:tcPr>
          <w:p>
            <w:pPr>
              <w:spacing w:after="20"/>
            </w:pPr>
            <w:r>
              <w:rPr>
                <w:b w:val="0"/>
                <w:sz w:val="17"/>
              </w:rPr>
              <w:t>Prevents invented words and numbers; Hindi quality</w:t>
            </w:r>
          </w:p>
        </w:tc>
        <w:tc>
          <w:tcPr>
            <w:tcW w:type="dxa" w:w="3288"/>
            <w:shd w:val="clear" w:color="auto" w:fill="FAF6EA"/>
          </w:tcPr>
          <w:p>
            <w:pPr>
              <w:spacing w:after="20"/>
            </w:pPr>
            <w:r>
              <w:rPr>
                <w:b w:val="0"/>
                <w:sz w:val="17"/>
              </w:rPr>
              <w:t>Content effort grows with coverage, so it is planned as content, not code</w:t>
            </w:r>
          </w:p>
        </w:tc>
      </w:tr>
      <w:tr>
        <w:tc>
          <w:tcPr>
            <w:tcW w:type="dxa" w:w="2948"/>
          </w:tcPr>
          <w:p>
            <w:pPr>
              <w:spacing w:after="20"/>
            </w:pPr>
            <w:r>
              <w:rPr>
                <w:b w:val="0"/>
                <w:sz w:val="17"/>
              </w:rPr>
              <w:t>Hash-chained ledger</w:t>
            </w:r>
          </w:p>
        </w:tc>
        <w:tc>
          <w:tcPr>
            <w:tcW w:type="dxa" w:w="3175"/>
          </w:tcPr>
          <w:p>
            <w:pPr>
              <w:spacing w:after="20"/>
            </w:pPr>
            <w:r>
              <w:rPr>
                <w:b w:val="0"/>
                <w:sz w:val="17"/>
              </w:rPr>
              <w:t>Tamper-evidence without a blockchain</w:t>
            </w:r>
          </w:p>
        </w:tc>
        <w:tc>
          <w:tcPr>
            <w:tcW w:type="dxa" w:w="3288"/>
          </w:tcPr>
          <w:p>
            <w:pPr>
              <w:spacing w:after="20"/>
            </w:pPr>
            <w:r>
              <w:rPr>
                <w:b w:val="0"/>
                <w:sz w:val="17"/>
              </w:rPr>
              <w:t>Cheap, auditable, explainable to non-experts</w:t>
            </w:r>
          </w:p>
        </w:tc>
      </w:tr>
      <w:tr>
        <w:tc>
          <w:tcPr>
            <w:tcW w:type="dxa" w:w="2948"/>
            <w:shd w:val="clear" w:color="auto" w:fill="FAF6EA"/>
          </w:tcPr>
          <w:p>
            <w:pPr>
              <w:spacing w:after="20"/>
            </w:pPr>
            <w:r>
              <w:rPr>
                <w:b w:val="0"/>
                <w:sz w:val="17"/>
              </w:rPr>
              <w:t>Rules before models in routing</w:t>
            </w:r>
          </w:p>
        </w:tc>
        <w:tc>
          <w:tcPr>
            <w:tcW w:type="dxa" w:w="3175"/>
            <w:shd w:val="clear" w:color="auto" w:fill="FAF6EA"/>
          </w:tcPr>
          <w:p>
            <w:pPr>
              <w:spacing w:after="20"/>
            </w:pPr>
            <w:r>
              <w:rPr>
                <w:b w:val="0"/>
                <w:sz w:val="17"/>
              </w:rPr>
              <w:t>Demo and production reliability</w:t>
            </w:r>
          </w:p>
        </w:tc>
        <w:tc>
          <w:tcPr>
            <w:tcW w:type="dxa" w:w="3288"/>
            <w:shd w:val="clear" w:color="auto" w:fill="FAF6EA"/>
          </w:tcPr>
          <w:p>
            <w:pPr>
              <w:spacing w:after="20"/>
            </w:pPr>
            <w:r>
              <w:rPr>
                <w:b w:val="0"/>
                <w:sz w:val="17"/>
              </w:rPr>
              <w:t>A model failing never breaks the core path</w:t>
            </w:r>
          </w:p>
        </w:tc>
      </w:tr>
    </w:tbl>
    <w:p>
      <w:pPr>
        <w:spacing w:after="40"/>
      </w:pPr>
    </w:p>
    <w:p>
      <w:pPr>
        <w:keepNext/>
        <w:spacing w:after="40"/>
        <w:jc w:val="center"/>
      </w:pPr>
      <w:r>
        <w:drawing>
          <wp:inline xmlns:a="http://schemas.openxmlformats.org/drawingml/2006/main" xmlns:pic="http://schemas.openxmlformats.org/drawingml/2006/picture">
            <wp:extent cx="4860000" cy="1802556"/>
            <wp:docPr id="17" name="Picture 17"/>
            <wp:cNvGraphicFramePr>
              <a:graphicFrameLocks noChangeAspect="1"/>
            </wp:cNvGraphicFramePr>
            <a:graphic>
              <a:graphicData uri="http://schemas.openxmlformats.org/drawingml/2006/picture">
                <pic:pic>
                  <pic:nvPicPr>
                    <pic:cNvPr id="0" name="pit.png"/>
                    <pic:cNvPicPr/>
                  </pic:nvPicPr>
                  <pic:blipFill>
                    <a:blip r:embed="rId25"/>
                    <a:stretch>
                      <a:fillRect/>
                    </a:stretch>
                  </pic:blipFill>
                  <pic:spPr>
                    <a:xfrm>
                      <a:off x="0" y="0"/>
                      <a:ext cx="4860000" cy="1802556"/>
                    </a:xfrm>
                    <a:prstGeom prst="rect"/>
                  </pic:spPr>
                </pic:pic>
              </a:graphicData>
            </a:graphic>
          </wp:inline>
        </w:drawing>
      </w:r>
    </w:p>
    <w:p>
      <w:pPr>
        <w:spacing w:after="160"/>
        <w:jc w:val="center"/>
      </w:pPr>
      <w:r>
        <w:rPr>
          <w:b w:val="0"/>
          <w:i/>
          <w:color w:val="6B675C"/>
          <w:sz w:val="17"/>
        </w:rPr>
        <w:t>Figure 17. The point-in-time guard. When the clock is moved back, later facts are hidden from the analysts.</w:t>
      </w:r>
    </w:p>
    <w:p>
      <w:pPr>
        <w:pStyle w:val="Heading2"/>
      </w:pPr>
      <w:r>
        <w:t>Components</w:t>
      </w:r>
    </w:p>
    <w:p>
      <w:pPr>
        <w:pStyle w:val="ListBullet"/>
        <w:spacing w:after="40"/>
      </w:pPr>
      <w:r>
        <w:rPr>
          <w:b/>
        </w:rPr>
        <w:t>Ingestion</w:t>
      </w:r>
      <w:r>
        <w:rPr>
          <w:b w:val="0"/>
        </w:rPr>
        <w:t xml:space="preserve"> pulls free price, statement, ownership and headline data on demand or in batch; each row is stamped with when it was published and fetched.</w:t>
      </w:r>
    </w:p>
    <w:p>
      <w:pPr>
        <w:pStyle w:val="ListBullet"/>
        <w:spacing w:after="40"/>
      </w:pPr>
      <w:r>
        <w:rPr>
          <w:b/>
        </w:rPr>
        <w:t>Enrichment</w:t>
      </w:r>
      <w:r>
        <w:rPr>
          <w:b w:val="0"/>
        </w:rPr>
        <w:t xml:space="preserve"> derives growth, cash conversion, debt, interest cover, Piotroski and Altman scores, dividend and payout, ownership and a company's own past P/E range (banks skip debt-type scores because they mean something else for a lender).</w:t>
      </w:r>
    </w:p>
    <w:p>
      <w:pPr>
        <w:pStyle w:val="ListBullet"/>
        <w:spacing w:after="40"/>
      </w:pPr>
      <w:r>
        <w:rPr>
          <w:b/>
        </w:rPr>
        <w:t>Research desks</w:t>
      </w:r>
      <w:r>
        <w:rPr>
          <w:b w:val="0"/>
        </w:rPr>
        <w:t xml:space="preserve"> (four analysts and a sceptic) run on a local model; their claims must cite stored evidence or are rejected, and the page streams each desk's result as it finishes.</w:t>
      </w:r>
    </w:p>
    <w:p>
      <w:pPr>
        <w:pStyle w:val="ListBullet"/>
        <w:spacing w:after="40"/>
      </w:pPr>
      <w:r>
        <w:rPr>
          <w:b/>
        </w:rPr>
        <w:t>Messaging</w:t>
      </w:r>
      <w:r>
        <w:rPr>
          <w:b w:val="0"/>
        </w:rPr>
        <w:t xml:space="preserve"> (WhatsApp/SMS) shares the same assistant; sessions are per phone number; voice notes are transcribed locally.</w:t>
      </w:r>
    </w:p>
    <w:p>
      <w:pPr>
        <w:pStyle w:val="ListBullet"/>
        <w:spacing w:after="40"/>
      </w:pPr>
      <w:r>
        <w:rPr>
          <w:b/>
        </w:rPr>
        <w:t>Offline</w:t>
      </w:r>
      <w:r>
        <w:rPr>
          <w:b w:val="0"/>
        </w:rPr>
        <w:t xml:space="preserve"> uses a service worker and Pyodide so the Python rural calculators run in the browser.</w:t>
      </w:r>
    </w:p>
    <w:p>
      <w:pPr>
        <w:pStyle w:val="ListBullet"/>
        <w:spacing w:after="40"/>
      </w:pPr>
      <w:r>
        <w:rPr>
          <w:b/>
        </w:rPr>
        <w:t>Quality</w:t>
      </w:r>
      <w:r>
        <w:rPr>
          <w:b w:val="0"/>
        </w:rPr>
        <w:t xml:space="preserve"> is protected by 520 automated tests covering routing, Hindi, scam scripts, calculators, summaries and the audit chain.</w:t>
      </w:r>
    </w:p>
    <w:p>
      <w:pPr>
        <w:pStyle w:val="Heading2"/>
      </w:pPr>
      <w:r>
        <w:t>Content and language operations</w:t>
      </w:r>
    </w:p>
    <w:p>
      <w:r>
        <w:rPr>
          <w:b w:val="0"/>
        </w:rPr>
        <w:t>Because answers are hand-written, content is a product in its own right. The current library holds 32 general explanations, nine scam scripts and 25 tours, each in English and Hindi, grouped as below. Adding a language means writing, reviewing and testing the same set, not retraining a model.</w:t>
      </w:r>
    </w:p>
    <w:tbl>
      <w:tblPr>
        <w:tblW w:type="auto" w:w="0"/>
        <w:jc w:val="center"/>
        <w:tblLayout w:type="fixed"/>
        <w:tblLook w:firstColumn="1" w:firstRow="1" w:lastColumn="0" w:lastRow="0" w:noHBand="0" w:noVBand="1" w:val="04A0"/>
        <w:tblBorders>
          <w:top w:val="single" w:sz="4" w:color="D8D0BC"/>
          <w:left w:val="single" w:sz="4" w:color="D8D0BC"/>
          <w:bottom w:val="single" w:sz="4" w:color="D8D0BC"/>
          <w:right w:val="single" w:sz="4" w:color="D8D0BC"/>
          <w:insideH w:val="single" w:sz="4" w:color="D8D0BC"/>
          <w:insideV w:val="single" w:sz="4" w:color="D8D0BC"/>
        </w:tblBorders>
      </w:tblPr>
      <w:tblGrid>
        <w:gridCol w:w="3175"/>
        <w:gridCol w:w="3175"/>
        <w:gridCol w:w="3175"/>
      </w:tblGrid>
      <w:tr>
        <w:tc>
          <w:tcPr>
            <w:tcW w:type="dxa" w:w="2268"/>
            <w:shd w:val="clear" w:color="auto" w:fill="2A2C31"/>
          </w:tcPr>
          <w:p>
            <w:pPr>
              <w:spacing w:after="20"/>
            </w:pPr>
            <w:r>
              <w:rPr>
                <w:b/>
                <w:color w:val="FFFFFF"/>
                <w:sz w:val="17"/>
              </w:rPr>
              <w:t>Content set</w:t>
            </w:r>
          </w:p>
        </w:tc>
        <w:tc>
          <w:tcPr>
            <w:tcW w:type="dxa" w:w="1020"/>
            <w:shd w:val="clear" w:color="auto" w:fill="2A2C31"/>
          </w:tcPr>
          <w:p>
            <w:pPr>
              <w:spacing w:after="20"/>
            </w:pPr>
            <w:r>
              <w:rPr>
                <w:b/>
                <w:color w:val="FFFFFF"/>
                <w:sz w:val="17"/>
              </w:rPr>
              <w:t>Count</w:t>
            </w:r>
          </w:p>
        </w:tc>
        <w:tc>
          <w:tcPr>
            <w:tcW w:type="dxa" w:w="6123"/>
            <w:shd w:val="clear" w:color="auto" w:fill="2A2C31"/>
          </w:tcPr>
          <w:p>
            <w:pPr>
              <w:spacing w:after="20"/>
            </w:pPr>
            <w:r>
              <w:rPr>
                <w:b/>
                <w:color w:val="FFFFFF"/>
                <w:sz w:val="17"/>
              </w:rPr>
              <w:t>Covers</w:t>
            </w:r>
          </w:p>
        </w:tc>
      </w:tr>
      <w:tr>
        <w:tc>
          <w:tcPr>
            <w:tcW w:type="dxa" w:w="2268"/>
          </w:tcPr>
          <w:p>
            <w:pPr>
              <w:spacing w:after="20"/>
            </w:pPr>
            <w:r>
              <w:rPr>
                <w:b w:val="0"/>
                <w:sz w:val="17"/>
              </w:rPr>
              <w:t>General explanations</w:t>
            </w:r>
          </w:p>
        </w:tc>
        <w:tc>
          <w:tcPr>
            <w:tcW w:type="dxa" w:w="1020"/>
          </w:tcPr>
          <w:p>
            <w:pPr>
              <w:spacing w:after="20"/>
            </w:pPr>
            <w:r>
              <w:rPr>
                <w:b w:val="0"/>
                <w:sz w:val="17"/>
              </w:rPr>
              <w:t>32</w:t>
            </w:r>
          </w:p>
        </w:tc>
        <w:tc>
          <w:tcPr>
            <w:tcW w:type="dxa" w:w="6123"/>
          </w:tcPr>
          <w:p>
            <w:pPr>
              <w:spacing w:after="20"/>
            </w:pPr>
            <w:r>
              <w:rPr>
                <w:b w:val="0"/>
                <w:sz w:val="17"/>
              </w:rPr>
              <w:t>Investing basics, funds, tax, saving, loans, insurance, safety, how the app works</w:t>
            </w:r>
          </w:p>
        </w:tc>
      </w:tr>
      <w:tr>
        <w:tc>
          <w:tcPr>
            <w:tcW w:type="dxa" w:w="2268"/>
            <w:shd w:val="clear" w:color="auto" w:fill="FAF6EA"/>
          </w:tcPr>
          <w:p>
            <w:pPr>
              <w:spacing w:after="20"/>
            </w:pPr>
            <w:r>
              <w:rPr>
                <w:b w:val="0"/>
                <w:sz w:val="17"/>
              </w:rPr>
              <w:t>Scam scripts</w:t>
            </w:r>
          </w:p>
        </w:tc>
        <w:tc>
          <w:tcPr>
            <w:tcW w:type="dxa" w:w="1020"/>
            <w:shd w:val="clear" w:color="auto" w:fill="FAF6EA"/>
          </w:tcPr>
          <w:p>
            <w:pPr>
              <w:spacing w:after="20"/>
            </w:pPr>
            <w:r>
              <w:rPr>
                <w:b w:val="0"/>
                <w:sz w:val="17"/>
              </w:rPr>
              <w:t>9</w:t>
            </w:r>
          </w:p>
        </w:tc>
        <w:tc>
          <w:tcPr>
            <w:tcW w:type="dxa" w:w="6123"/>
            <w:shd w:val="clear" w:color="auto" w:fill="FAF6EA"/>
          </w:tcPr>
          <w:p>
            <w:pPr>
              <w:spacing w:after="20"/>
            </w:pPr>
            <w:r>
              <w:rPr>
                <w:b w:val="0"/>
                <w:sz w:val="17"/>
              </w:rPr>
              <w:t>Bank OTP, digital arrest, courier, remote app, task job, loan app, prize, SIM or utility, investment group</w:t>
            </w:r>
          </w:p>
        </w:tc>
      </w:tr>
      <w:tr>
        <w:tc>
          <w:tcPr>
            <w:tcW w:type="dxa" w:w="2268"/>
          </w:tcPr>
          <w:p>
            <w:pPr>
              <w:spacing w:after="20"/>
            </w:pPr>
            <w:r>
              <w:rPr>
                <w:b w:val="0"/>
                <w:sz w:val="17"/>
              </w:rPr>
              <w:t>Guided tours</w:t>
            </w:r>
          </w:p>
        </w:tc>
        <w:tc>
          <w:tcPr>
            <w:tcW w:type="dxa" w:w="1020"/>
          </w:tcPr>
          <w:p>
            <w:pPr>
              <w:spacing w:after="20"/>
            </w:pPr>
            <w:r>
              <w:rPr>
                <w:b w:val="0"/>
                <w:sz w:val="17"/>
              </w:rPr>
              <w:t>25</w:t>
            </w:r>
          </w:p>
        </w:tc>
        <w:tc>
          <w:tcPr>
            <w:tcW w:type="dxa" w:w="6123"/>
          </w:tcPr>
          <w:p>
            <w:pPr>
              <w:spacing w:after="20"/>
            </w:pPr>
            <w:r>
              <w:rPr>
                <w:b w:val="0"/>
                <w:sz w:val="17"/>
              </w:rPr>
              <w:t>Whole app, every page, every tool in Practice, Protect, Govern, Rural, WhatsApp, Learn</w:t>
            </w:r>
          </w:p>
        </w:tc>
      </w:tr>
      <w:tr>
        <w:tc>
          <w:tcPr>
            <w:tcW w:type="dxa" w:w="2268"/>
            <w:shd w:val="clear" w:color="auto" w:fill="FAF6EA"/>
          </w:tcPr>
          <w:p>
            <w:pPr>
              <w:spacing w:after="20"/>
            </w:pPr>
            <w:r>
              <w:rPr>
                <w:b w:val="0"/>
                <w:sz w:val="17"/>
              </w:rPr>
              <w:t>Rural tools</w:t>
            </w:r>
          </w:p>
        </w:tc>
        <w:tc>
          <w:tcPr>
            <w:tcW w:type="dxa" w:w="1020"/>
            <w:shd w:val="clear" w:color="auto" w:fill="FAF6EA"/>
          </w:tcPr>
          <w:p>
            <w:pPr>
              <w:spacing w:after="20"/>
            </w:pPr>
            <w:r>
              <w:rPr>
                <w:b w:val="0"/>
                <w:sz w:val="17"/>
              </w:rPr>
              <w:t>12</w:t>
            </w:r>
          </w:p>
        </w:tc>
        <w:tc>
          <w:tcPr>
            <w:tcW w:type="dxa" w:w="6123"/>
            <w:shd w:val="clear" w:color="auto" w:fill="FAF6EA"/>
          </w:tcPr>
          <w:p>
            <w:pPr>
              <w:spacing w:after="20"/>
            </w:pPr>
            <w:r>
              <w:rPr>
                <w:b w:val="0"/>
                <w:sz w:val="17"/>
              </w:rPr>
              <w:t>Loans, schemes, papers, harvest, saving, group ledger, UPI, policy</w:t>
            </w:r>
          </w:p>
        </w:tc>
      </w:tr>
      <w:tr>
        <w:tc>
          <w:tcPr>
            <w:tcW w:type="dxa" w:w="2268"/>
          </w:tcPr>
          <w:p>
            <w:pPr>
              <w:spacing w:after="20"/>
            </w:pPr>
            <w:r>
              <w:rPr>
                <w:b w:val="0"/>
                <w:sz w:val="17"/>
              </w:rPr>
              <w:t>Research checks</w:t>
            </w:r>
          </w:p>
        </w:tc>
        <w:tc>
          <w:tcPr>
            <w:tcW w:type="dxa" w:w="1020"/>
          </w:tcPr>
          <w:p>
            <w:pPr>
              <w:spacing w:after="20"/>
            </w:pPr>
            <w:r>
              <w:rPr>
                <w:b w:val="0"/>
                <w:sz w:val="17"/>
              </w:rPr>
              <w:t>25</w:t>
            </w:r>
          </w:p>
        </w:tc>
        <w:tc>
          <w:tcPr>
            <w:tcW w:type="dxa" w:w="6123"/>
          </w:tcPr>
          <w:p>
            <w:pPr>
              <w:spacing w:after="20"/>
            </w:pPr>
            <w:r>
              <w:rPr>
                <w:b w:val="0"/>
                <w:sz w:val="17"/>
              </w:rPr>
              <w:t>Growth, cash, safety, valuation, ownership, price behaviour, news</w:t>
            </w:r>
          </w:p>
        </w:tc>
      </w:tr>
    </w:tbl>
    <w:p>
      <w:pPr>
        <w:spacing w:after="40"/>
      </w:pPr>
    </w:p>
    <w:p>
      <w:pPr>
        <w:pStyle w:val="Heading2"/>
      </w:pPr>
      <w:r>
        <w:t>Deployment options</w:t>
      </w:r>
    </w:p>
    <w:tbl>
      <w:tblPr>
        <w:tblW w:type="auto" w:w="0"/>
        <w:jc w:val="center"/>
        <w:tblLayout w:type="fixed"/>
        <w:tblLook w:firstColumn="1" w:firstRow="1" w:lastColumn="0" w:lastRow="0" w:noHBand="0" w:noVBand="1" w:val="04A0"/>
        <w:tblBorders>
          <w:top w:val="single" w:sz="4" w:color="D8D0BC"/>
          <w:left w:val="single" w:sz="4" w:color="D8D0BC"/>
          <w:bottom w:val="single" w:sz="4" w:color="D8D0BC"/>
          <w:right w:val="single" w:sz="4" w:color="D8D0BC"/>
          <w:insideH w:val="single" w:sz="4" w:color="D8D0BC"/>
          <w:insideV w:val="single" w:sz="4" w:color="D8D0BC"/>
        </w:tblBorders>
      </w:tblPr>
      <w:tblGrid>
        <w:gridCol w:w="2381"/>
        <w:gridCol w:w="2381"/>
        <w:gridCol w:w="2381"/>
        <w:gridCol w:w="2381"/>
      </w:tblGrid>
      <w:tr>
        <w:tc>
          <w:tcPr>
            <w:tcW w:type="dxa" w:w="1928"/>
            <w:shd w:val="clear" w:color="auto" w:fill="2A2C31"/>
          </w:tcPr>
          <w:p>
            <w:pPr>
              <w:spacing w:after="20"/>
            </w:pPr>
            <w:r>
              <w:rPr>
                <w:b/>
                <w:color w:val="FFFFFF"/>
                <w:sz w:val="16"/>
              </w:rPr>
              <w:t>Option</w:t>
            </w:r>
          </w:p>
        </w:tc>
        <w:tc>
          <w:tcPr>
            <w:tcW w:type="dxa" w:w="2721"/>
            <w:shd w:val="clear" w:color="auto" w:fill="2A2C31"/>
          </w:tcPr>
          <w:p>
            <w:pPr>
              <w:spacing w:after="20"/>
            </w:pPr>
            <w:r>
              <w:rPr>
                <w:b/>
                <w:color w:val="FFFFFF"/>
                <w:sz w:val="16"/>
              </w:rPr>
              <w:t>Where it runs</w:t>
            </w:r>
          </w:p>
        </w:tc>
        <w:tc>
          <w:tcPr>
            <w:tcW w:type="dxa" w:w="2381"/>
            <w:shd w:val="clear" w:color="auto" w:fill="2A2C31"/>
          </w:tcPr>
          <w:p>
            <w:pPr>
              <w:spacing w:after="20"/>
            </w:pPr>
            <w:r>
              <w:rPr>
                <w:b/>
                <w:color w:val="FFFFFF"/>
                <w:sz w:val="16"/>
              </w:rPr>
              <w:t>Best for</w:t>
            </w:r>
          </w:p>
        </w:tc>
        <w:tc>
          <w:tcPr>
            <w:tcW w:type="dxa" w:w="2381"/>
            <w:shd w:val="clear" w:color="auto" w:fill="2A2C31"/>
          </w:tcPr>
          <w:p>
            <w:pPr>
              <w:spacing w:after="20"/>
            </w:pPr>
            <w:r>
              <w:rPr>
                <w:b/>
                <w:color w:val="FFFFFF"/>
                <w:sz w:val="16"/>
              </w:rPr>
              <w:t>Notes</w:t>
            </w:r>
          </w:p>
        </w:tc>
      </w:tr>
      <w:tr>
        <w:tc>
          <w:tcPr>
            <w:tcW w:type="dxa" w:w="1928"/>
          </w:tcPr>
          <w:p>
            <w:pPr>
              <w:spacing w:after="20"/>
            </w:pPr>
            <w:r>
              <w:rPr>
                <w:b w:val="0"/>
                <w:sz w:val="16"/>
              </w:rPr>
              <w:t>Single laptop or mini PC</w:t>
            </w:r>
          </w:p>
        </w:tc>
        <w:tc>
          <w:tcPr>
            <w:tcW w:type="dxa" w:w="2721"/>
          </w:tcPr>
          <w:p>
            <w:pPr>
              <w:spacing w:after="20"/>
            </w:pPr>
            <w:r>
              <w:rPr>
                <w:b w:val="0"/>
                <w:sz w:val="16"/>
              </w:rPr>
              <w:t>One machine runs everything, including voice and the optional model</w:t>
            </w:r>
          </w:p>
        </w:tc>
        <w:tc>
          <w:tcPr>
            <w:tcW w:type="dxa" w:w="2381"/>
          </w:tcPr>
          <w:p>
            <w:pPr>
              <w:spacing w:after="20"/>
            </w:pPr>
            <w:r>
              <w:rPr>
                <w:b w:val="0"/>
                <w:sz w:val="16"/>
              </w:rPr>
              <w:t>Pilots, demos, a Common Service Centre</w:t>
            </w:r>
          </w:p>
        </w:tc>
        <w:tc>
          <w:tcPr>
            <w:tcW w:type="dxa" w:w="2381"/>
          </w:tcPr>
          <w:p>
            <w:pPr>
              <w:spacing w:after="20"/>
            </w:pPr>
            <w:r>
              <w:rPr>
                <w:b w:val="0"/>
                <w:sz w:val="16"/>
              </w:rPr>
              <w:t>Lowest cost; fully private</w:t>
            </w:r>
          </w:p>
        </w:tc>
      </w:tr>
      <w:tr>
        <w:tc>
          <w:tcPr>
            <w:tcW w:type="dxa" w:w="1928"/>
            <w:shd w:val="clear" w:color="auto" w:fill="FAF6EA"/>
          </w:tcPr>
          <w:p>
            <w:pPr>
              <w:spacing w:after="20"/>
            </w:pPr>
            <w:r>
              <w:rPr>
                <w:b w:val="0"/>
                <w:sz w:val="16"/>
              </w:rPr>
              <w:t>Edge box per partner</w:t>
            </w:r>
          </w:p>
        </w:tc>
        <w:tc>
          <w:tcPr>
            <w:tcW w:type="dxa" w:w="2721"/>
            <w:shd w:val="clear" w:color="auto" w:fill="FAF6EA"/>
          </w:tcPr>
          <w:p>
            <w:pPr>
              <w:spacing w:after="20"/>
            </w:pPr>
            <w:r>
              <w:rPr>
                <w:b w:val="0"/>
                <w:sz w:val="16"/>
              </w:rPr>
              <w:t>A small server at a bank branch, NGO office or federation</w:t>
            </w:r>
          </w:p>
        </w:tc>
        <w:tc>
          <w:tcPr>
            <w:tcW w:type="dxa" w:w="2381"/>
            <w:shd w:val="clear" w:color="auto" w:fill="FAF6EA"/>
          </w:tcPr>
          <w:p>
            <w:pPr>
              <w:spacing w:after="20"/>
            </w:pPr>
            <w:r>
              <w:rPr>
                <w:b w:val="0"/>
                <w:sz w:val="16"/>
              </w:rPr>
              <w:t>Partner-hosted deployments</w:t>
            </w:r>
          </w:p>
        </w:tc>
        <w:tc>
          <w:tcPr>
            <w:tcW w:type="dxa" w:w="2381"/>
            <w:shd w:val="clear" w:color="auto" w:fill="FAF6EA"/>
          </w:tcPr>
          <w:p>
            <w:pPr>
              <w:spacing w:after="20"/>
            </w:pPr>
            <w:r>
              <w:rPr>
                <w:b w:val="0"/>
                <w:sz w:val="16"/>
              </w:rPr>
              <w:t>Data stays with the partner</w:t>
            </w:r>
          </w:p>
        </w:tc>
      </w:tr>
      <w:tr>
        <w:tc>
          <w:tcPr>
            <w:tcW w:type="dxa" w:w="1928"/>
          </w:tcPr>
          <w:p>
            <w:pPr>
              <w:spacing w:after="20"/>
            </w:pPr>
            <w:r>
              <w:rPr>
                <w:b w:val="0"/>
                <w:sz w:val="16"/>
              </w:rPr>
              <w:t>Cloud-hosted</w:t>
            </w:r>
          </w:p>
        </w:tc>
        <w:tc>
          <w:tcPr>
            <w:tcW w:type="dxa" w:w="2721"/>
          </w:tcPr>
          <w:p>
            <w:pPr>
              <w:spacing w:after="20"/>
            </w:pPr>
            <w:r>
              <w:rPr>
                <w:b w:val="0"/>
                <w:sz w:val="16"/>
              </w:rPr>
              <w:t>Standard container host</w:t>
            </w:r>
          </w:p>
        </w:tc>
        <w:tc>
          <w:tcPr>
            <w:tcW w:type="dxa" w:w="2381"/>
          </w:tcPr>
          <w:p>
            <w:pPr>
              <w:spacing w:after="20"/>
            </w:pPr>
            <w:r>
              <w:rPr>
                <w:b w:val="0"/>
                <w:sz w:val="16"/>
              </w:rPr>
              <w:t>Scale across states; WhatsApp at volume</w:t>
            </w:r>
          </w:p>
        </w:tc>
        <w:tc>
          <w:tcPr>
            <w:tcW w:type="dxa" w:w="2381"/>
          </w:tcPr>
          <w:p>
            <w:pPr>
              <w:spacing w:after="20"/>
            </w:pPr>
            <w:r>
              <w:rPr>
                <w:b w:val="0"/>
                <w:sz w:val="16"/>
              </w:rPr>
              <w:t>Needs consent and a data-protection review</w:t>
            </w:r>
          </w:p>
        </w:tc>
      </w:tr>
      <w:tr>
        <w:tc>
          <w:tcPr>
            <w:tcW w:type="dxa" w:w="1928"/>
            <w:shd w:val="clear" w:color="auto" w:fill="FAF6EA"/>
          </w:tcPr>
          <w:p>
            <w:pPr>
              <w:spacing w:after="20"/>
            </w:pPr>
            <w:r>
              <w:rPr>
                <w:b w:val="0"/>
                <w:sz w:val="16"/>
              </w:rPr>
              <w:t>Offline browser pack</w:t>
            </w:r>
          </w:p>
        </w:tc>
        <w:tc>
          <w:tcPr>
            <w:tcW w:type="dxa" w:w="2721"/>
            <w:shd w:val="clear" w:color="auto" w:fill="FAF6EA"/>
          </w:tcPr>
          <w:p>
            <w:pPr>
              <w:spacing w:after="20"/>
            </w:pPr>
            <w:r>
              <w:rPr>
                <w:b w:val="0"/>
                <w:sz w:val="16"/>
              </w:rPr>
              <w:t>Phone or tablet browser (service worker, Pyodide)</w:t>
            </w:r>
          </w:p>
        </w:tc>
        <w:tc>
          <w:tcPr>
            <w:tcW w:type="dxa" w:w="2381"/>
            <w:shd w:val="clear" w:color="auto" w:fill="FAF6EA"/>
          </w:tcPr>
          <w:p>
            <w:pPr>
              <w:spacing w:after="20"/>
            </w:pPr>
            <w:r>
              <w:rPr>
                <w:b w:val="0"/>
                <w:sz w:val="16"/>
              </w:rPr>
              <w:t>No-signal villages</w:t>
            </w:r>
          </w:p>
        </w:tc>
        <w:tc>
          <w:tcPr>
            <w:tcW w:type="dxa" w:w="2381"/>
            <w:shd w:val="clear" w:color="auto" w:fill="FAF6EA"/>
          </w:tcPr>
          <w:p>
            <w:pPr>
              <w:spacing w:after="20"/>
            </w:pPr>
            <w:r>
              <w:rPr>
                <w:b w:val="0"/>
                <w:sz w:val="16"/>
              </w:rPr>
              <w:t>Rural tools only; prices need a connection</w:t>
            </w:r>
          </w:p>
        </w:tc>
      </w:tr>
    </w:tbl>
    <w:p>
      <w:pPr>
        <w:spacing w:after="40"/>
      </w:pPr>
    </w:p>
    <w:p>
      <w:pPr>
        <w:pStyle w:val="Heading2"/>
      </w:pPr>
      <w:r>
        <w:t>Security and privacy measures</w:t>
      </w:r>
    </w:p>
    <w:p>
      <w:pPr>
        <w:pStyle w:val="ListBullet"/>
        <w:spacing w:after="40"/>
      </w:pPr>
      <w:r>
        <w:rPr>
          <w:b w:val="0"/>
        </w:rPr>
        <w:t>Processing of speech, calculators and the optional model happens on the machine; nothing is sent to an outside service to answer a question.</w:t>
      </w:r>
    </w:p>
    <w:p>
      <w:pPr>
        <w:pStyle w:val="ListBullet"/>
        <w:spacing w:after="40"/>
      </w:pPr>
      <w:r>
        <w:rPr>
          <w:b w:val="0"/>
        </w:rPr>
        <w:t>A shared-device mode wipes the previous person's answers and results before the next person starts.</w:t>
      </w:r>
    </w:p>
    <w:p>
      <w:pPr>
        <w:pStyle w:val="ListBullet"/>
        <w:spacing w:after="40"/>
      </w:pPr>
      <w:r>
        <w:rPr>
          <w:b w:val="0"/>
        </w:rPr>
        <w:t>Stored data is limited to what a tool needs; portfolios and ledgers stay on the device unless the person exports them.</w:t>
      </w:r>
    </w:p>
    <w:p>
      <w:pPr>
        <w:pStyle w:val="ListBullet"/>
        <w:spacing w:after="40"/>
      </w:pPr>
      <w:r>
        <w:rPr>
          <w:b w:val="0"/>
        </w:rPr>
        <w:t>The audit record is tamper-evident; backups are exported by the person, not uploaded.</w:t>
      </w:r>
    </w:p>
    <w:p>
      <w:pPr>
        <w:pStyle w:val="ListBullet"/>
        <w:spacing w:after="40"/>
      </w:pPr>
      <w:r>
        <w:rPr>
          <w:b w:val="0"/>
        </w:rPr>
        <w:t>Outbound requests are limited to fetching public market data and, if enabled, the messaging provider.</w:t>
      </w:r>
    </w:p>
    <w:p>
      <w:pPr>
        <w:pStyle w:val="Heading2"/>
      </w:pPr>
      <w:r>
        <w:t>Performance and scale</w:t>
      </w:r>
    </w:p>
    <w:p>
      <w:r>
        <w:rPr>
          <w:b w:val="0"/>
        </w:rPr>
        <w:t>Answers from calculators and stored explanations return in well under a second. A company card adds the time to fetch a live chart, capped at a few seconds and cached for ten minutes, with automatic fall-back to the saved snapshot. The research desks, which use a local model, take about half a minute and stream each desk's result as it finishes. Scaling to many users is a hosting question rather than a design change, because the core is stateless apart from per-user sessions.</w:t>
      </w:r>
    </w:p>
    <w:p>
      <w:pPr>
        <w:pStyle w:val="Heading1"/>
      </w:pPr>
      <w:r>
        <w:t>13. Where the prototype stands today</w:t>
      </w:r>
    </w:p>
    <w:p>
      <w:pPr>
        <w:keepNext/>
        <w:spacing w:after="40"/>
        <w:jc w:val="center"/>
      </w:pPr>
      <w:r>
        <w:drawing>
          <wp:inline xmlns:a="http://schemas.openxmlformats.org/drawingml/2006/main" xmlns:pic="http://schemas.openxmlformats.org/drawingml/2006/picture">
            <wp:extent cx="5112000" cy="2017895"/>
            <wp:docPr id="18" name="Picture 18"/>
            <wp:cNvGraphicFramePr>
              <a:graphicFrameLocks noChangeAspect="1"/>
            </wp:cNvGraphicFramePr>
            <a:graphic>
              <a:graphicData uri="http://schemas.openxmlformats.org/drawingml/2006/picture">
                <pic:pic>
                  <pic:nvPicPr>
                    <pic:cNvPr id="0" name="maturity.png"/>
                    <pic:cNvPicPr/>
                  </pic:nvPicPr>
                  <pic:blipFill>
                    <a:blip r:embed="rId26"/>
                    <a:stretch>
                      <a:fillRect/>
                    </a:stretch>
                  </pic:blipFill>
                  <pic:spPr>
                    <a:xfrm>
                      <a:off x="0" y="0"/>
                      <a:ext cx="5112000" cy="2017895"/>
                    </a:xfrm>
                    <a:prstGeom prst="rect"/>
                  </pic:spPr>
                </pic:pic>
              </a:graphicData>
            </a:graphic>
          </wp:inline>
        </w:drawing>
      </w:r>
    </w:p>
    <w:p>
      <w:pPr>
        <w:spacing w:after="160"/>
        <w:jc w:val="center"/>
      </w:pPr>
      <w:r>
        <w:rPr>
          <w:b w:val="0"/>
          <w:i/>
          <w:color w:val="6B675C"/>
          <w:sz w:val="17"/>
        </w:rPr>
        <w:t>Figure 18. Readiness by area, as judged by the team. Green is demonstrable, amber is partial, red is planned.</w:t>
      </w:r>
    </w:p>
    <w:tbl>
      <w:tblPr>
        <w:tblW w:type="auto" w:w="0"/>
        <w:jc w:val="center"/>
        <w:tblLayout w:type="fixed"/>
        <w:tblLook w:firstColumn="1" w:firstRow="1" w:lastColumn="0" w:lastRow="0" w:noHBand="0" w:noVBand="1" w:val="04A0"/>
        <w:tblBorders>
          <w:top w:val="single" w:sz="4" w:color="D8D0BC"/>
          <w:left w:val="single" w:sz="4" w:color="D8D0BC"/>
          <w:bottom w:val="single" w:sz="4" w:color="D8D0BC"/>
          <w:right w:val="single" w:sz="4" w:color="D8D0BC"/>
          <w:insideH w:val="single" w:sz="4" w:color="D8D0BC"/>
          <w:insideV w:val="single" w:sz="4" w:color="D8D0BC"/>
        </w:tblBorders>
      </w:tblPr>
      <w:tblGrid>
        <w:gridCol w:w="3175"/>
        <w:gridCol w:w="3175"/>
        <w:gridCol w:w="3175"/>
      </w:tblGrid>
      <w:tr>
        <w:tc>
          <w:tcPr>
            <w:tcW w:type="dxa" w:w="3175"/>
            <w:shd w:val="clear" w:color="auto" w:fill="2A2C31"/>
          </w:tcPr>
          <w:p>
            <w:pPr>
              <w:spacing w:after="20"/>
            </w:pPr>
            <w:r>
              <w:rPr>
                <w:b/>
                <w:color w:val="FFFFFF"/>
                <w:sz w:val="17"/>
              </w:rPr>
              <w:t>Working now</w:t>
            </w:r>
          </w:p>
        </w:tc>
        <w:tc>
          <w:tcPr>
            <w:tcW w:type="dxa" w:w="3118"/>
            <w:shd w:val="clear" w:color="auto" w:fill="2A2C31"/>
          </w:tcPr>
          <w:p>
            <w:pPr>
              <w:spacing w:after="20"/>
            </w:pPr>
            <w:r>
              <w:rPr>
                <w:b/>
                <w:color w:val="FFFFFF"/>
                <w:sz w:val="17"/>
              </w:rPr>
              <w:t>Partly done</w:t>
            </w:r>
          </w:p>
        </w:tc>
        <w:tc>
          <w:tcPr>
            <w:tcW w:type="dxa" w:w="3118"/>
            <w:shd w:val="clear" w:color="auto" w:fill="2A2C31"/>
          </w:tcPr>
          <w:p>
            <w:pPr>
              <w:spacing w:after="20"/>
            </w:pPr>
            <w:r>
              <w:rPr>
                <w:b/>
                <w:color w:val="FFFFFF"/>
                <w:sz w:val="17"/>
              </w:rPr>
              <w:t>Not yet</w:t>
            </w:r>
          </w:p>
        </w:tc>
      </w:tr>
      <w:tr>
        <w:tc>
          <w:tcPr>
            <w:tcW w:type="dxa" w:w="3175"/>
          </w:tcPr>
          <w:p>
            <w:pPr>
              <w:spacing w:after="20"/>
            </w:pPr>
            <w:r>
              <w:rPr>
                <w:b w:val="0"/>
                <w:sz w:val="17"/>
              </w:rPr>
              <w:t>Twelve rural tools in Hindi and English; offline pack; WhatsApp simulator; nine scam scripts and the recovery coach; assistant understanding; 25 tours; research summary with confidence; firewall and audit chain</w:t>
            </w:r>
          </w:p>
        </w:tc>
        <w:tc>
          <w:tcPr>
            <w:tcW w:type="dxa" w:w="3118"/>
          </w:tcPr>
          <w:p>
            <w:pPr>
              <w:spacing w:after="20"/>
            </w:pPr>
            <w:r>
              <w:rPr>
                <w:b w:val="0"/>
                <w:sz w:val="17"/>
              </w:rPr>
              <w:t>Voice recognition in Hindi (works, accuracy varies by accent and microphone); live data for the 53-company universe plus on-demand additions; fund holdings are illustrative samples</w:t>
            </w:r>
          </w:p>
        </w:tc>
        <w:tc>
          <w:tcPr>
            <w:tcW w:type="dxa" w:w="3118"/>
          </w:tcPr>
          <w:p>
            <w:pPr>
              <w:spacing w:after="20"/>
            </w:pPr>
            <w:r>
              <w:rPr>
                <w:b w:val="0"/>
                <w:sz w:val="17"/>
              </w:rPr>
              <w:t>Real WhatsApp/SMS number in production; more Indian languages; USSD/IVR for feature phones; promoter pledging data; large-scale hosting; user research with real beneficiaries</w:t>
            </w:r>
          </w:p>
        </w:tc>
      </w:tr>
    </w:tbl>
    <w:p>
      <w:pPr>
        <w:spacing w:after="40"/>
      </w:pPr>
    </w:p>
    <w:tbl>
      <w:tblPr>
        <w:tblW w:type="auto" w:w="0"/>
        <w:jc w:val="center"/>
        <w:tblLook w:firstColumn="1" w:firstRow="1" w:lastColumn="0" w:lastRow="0" w:noHBand="0" w:noVBand="1" w:val="04A0"/>
        <w:tblBorders>
          <w:top w:val="single" w:sz="4" w:color="E0C47A"/>
          <w:left w:val="single" w:sz="4" w:color="E0C47A"/>
          <w:bottom w:val="single" w:sz="4" w:color="E0C47A"/>
          <w:right w:val="single" w:sz="4" w:color="E0C47A"/>
          <w:insideH w:val="single" w:sz="4" w:color="E0C47A"/>
          <w:insideV w:val="single" w:sz="4" w:color="E0C47A"/>
        </w:tblBorders>
      </w:tblPr>
      <w:tblGrid>
        <w:gridCol w:w="9524"/>
      </w:tblGrid>
      <w:tr>
        <w:tc>
          <w:tcPr>
            <w:tcW w:type="dxa" w:w="9411"/>
            <w:shd w:val="clear" w:color="auto" w:fill="FDEDEB"/>
          </w:tcPr>
          <w:p>
            <w:r>
              <w:rPr>
                <w:b/>
                <w:color w:val="B8760A"/>
              </w:rPr>
              <w:t xml:space="preserve">Be clear about limits  </w:t>
            </w:r>
            <w:r>
              <w:rPr>
                <w:b w:val="0"/>
              </w:rPr>
              <w:t xml:space="preserve">Trading is </w:t>
            </w:r>
            <w:r>
              <w:rPr>
                <w:b/>
              </w:rPr>
              <w:t>paper only</w:t>
            </w:r>
            <w:r>
              <w:rPr>
                <w:b w:val="0"/>
              </w:rPr>
              <w:t>. The sample funds' holdings are illustrative. The price snapshot can be weeks old unless refreshed (the page says so). Answers are education and description, not regulated advice.</w:t>
            </w:r>
          </w:p>
        </w:tc>
      </w:tr>
    </w:tbl>
    <w:p>
      <w:pPr>
        <w:spacing w:after="40"/>
      </w:pPr>
    </w:p>
    <w:p>
      <w:pPr>
        <w:pStyle w:val="Heading1"/>
      </w:pPr>
      <w:r>
        <w:t>14. How we are different</w:t>
      </w:r>
    </w:p>
    <w:p>
      <w:pPr>
        <w:keepNext/>
        <w:spacing w:after="40"/>
        <w:jc w:val="center"/>
      </w:pPr>
      <w:r>
        <w:drawing>
          <wp:inline xmlns:a="http://schemas.openxmlformats.org/drawingml/2006/main" xmlns:pic="http://schemas.openxmlformats.org/drawingml/2006/picture">
            <wp:extent cx="4248000" cy="2764878"/>
            <wp:docPr id="19" name="Picture 19"/>
            <wp:cNvGraphicFramePr>
              <a:graphicFrameLocks noChangeAspect="1"/>
            </wp:cNvGraphicFramePr>
            <a:graphic>
              <a:graphicData uri="http://schemas.openxmlformats.org/drawingml/2006/picture">
                <pic:pic>
                  <pic:nvPicPr>
                    <pic:cNvPr id="0" name="position.png"/>
                    <pic:cNvPicPr/>
                  </pic:nvPicPr>
                  <pic:blipFill>
                    <a:blip r:embed="rId27"/>
                    <a:stretch>
                      <a:fillRect/>
                    </a:stretch>
                  </pic:blipFill>
                  <pic:spPr>
                    <a:xfrm>
                      <a:off x="0" y="0"/>
                      <a:ext cx="4248000" cy="2764878"/>
                    </a:xfrm>
                    <a:prstGeom prst="rect"/>
                  </pic:spPr>
                </pic:pic>
              </a:graphicData>
            </a:graphic>
          </wp:inline>
        </w:drawing>
      </w:r>
    </w:p>
    <w:p>
      <w:pPr>
        <w:spacing w:after="160"/>
        <w:jc w:val="center"/>
      </w:pPr>
      <w:r>
        <w:rPr>
          <w:b w:val="0"/>
          <w:i/>
          <w:color w:val="6B675C"/>
          <w:sz w:val="17"/>
        </w:rPr>
        <w:t>Figure 19. Positioning. Most tools serve wealthy investors or are passive content; this platform serves the masses and does the task.</w:t>
      </w:r>
    </w:p>
    <w:tbl>
      <w:tblPr>
        <w:tblW w:type="auto" w:w="0"/>
        <w:jc w:val="center"/>
        <w:tblLayout w:type="fixed"/>
        <w:tblLook w:firstColumn="1" w:firstRow="1" w:lastColumn="0" w:lastRow="0" w:noHBand="0" w:noVBand="1" w:val="04A0"/>
        <w:tblBorders>
          <w:top w:val="single" w:sz="4" w:color="D8D0BC"/>
          <w:left w:val="single" w:sz="4" w:color="D8D0BC"/>
          <w:bottom w:val="single" w:sz="4" w:color="D8D0BC"/>
          <w:right w:val="single" w:sz="4" w:color="D8D0BC"/>
          <w:insideH w:val="single" w:sz="4" w:color="D8D0BC"/>
          <w:insideV w:val="single" w:sz="4" w:color="D8D0BC"/>
        </w:tblBorders>
      </w:tblPr>
      <w:tblGrid>
        <w:gridCol w:w="1587"/>
        <w:gridCol w:w="1587"/>
        <w:gridCol w:w="1587"/>
        <w:gridCol w:w="1587"/>
        <w:gridCol w:w="1587"/>
        <w:gridCol w:w="1587"/>
      </w:tblGrid>
      <w:tr>
        <w:tc>
          <w:tcPr>
            <w:tcW w:type="dxa" w:w="1474"/>
            <w:shd w:val="clear" w:color="auto" w:fill="2A2C31"/>
          </w:tcPr>
          <w:p>
            <w:pPr>
              <w:spacing w:after="20"/>
            </w:pPr>
          </w:p>
        </w:tc>
        <w:tc>
          <w:tcPr>
            <w:tcW w:type="dxa" w:w="1474"/>
            <w:shd w:val="clear" w:color="auto" w:fill="2A2C31"/>
          </w:tcPr>
          <w:p>
            <w:pPr>
              <w:spacing w:after="20"/>
            </w:pPr>
            <w:r>
              <w:rPr>
                <w:b/>
                <w:color w:val="FFFFFF"/>
                <w:sz w:val="16"/>
              </w:rPr>
              <w:t>Broker and trading apps</w:t>
            </w:r>
          </w:p>
        </w:tc>
        <w:tc>
          <w:tcPr>
            <w:tcW w:type="dxa" w:w="1361"/>
            <w:shd w:val="clear" w:color="auto" w:fill="2A2C31"/>
          </w:tcPr>
          <w:p>
            <w:pPr>
              <w:spacing w:after="20"/>
            </w:pPr>
            <w:r>
              <w:rPr>
                <w:b/>
                <w:color w:val="FFFFFF"/>
                <w:sz w:val="16"/>
              </w:rPr>
              <w:t>Bank apps</w:t>
            </w:r>
          </w:p>
        </w:tc>
        <w:tc>
          <w:tcPr>
            <w:tcW w:type="dxa" w:w="1417"/>
            <w:shd w:val="clear" w:color="auto" w:fill="2A2C31"/>
          </w:tcPr>
          <w:p>
            <w:pPr>
              <w:spacing w:after="20"/>
            </w:pPr>
            <w:r>
              <w:rPr>
                <w:b/>
                <w:color w:val="FFFFFF"/>
                <w:sz w:val="16"/>
              </w:rPr>
              <w:t>Finance influencers</w:t>
            </w:r>
          </w:p>
        </w:tc>
        <w:tc>
          <w:tcPr>
            <w:tcW w:type="dxa" w:w="1474"/>
            <w:shd w:val="clear" w:color="auto" w:fill="2A2C31"/>
          </w:tcPr>
          <w:p>
            <w:pPr>
              <w:spacing w:after="20"/>
            </w:pPr>
            <w:r>
              <w:rPr>
                <w:b/>
                <w:color w:val="FFFFFF"/>
                <w:sz w:val="16"/>
              </w:rPr>
              <w:t>Literacy NGOs and portals</w:t>
            </w:r>
          </w:p>
        </w:tc>
        <w:tc>
          <w:tcPr>
            <w:tcW w:type="dxa" w:w="2211"/>
            <w:shd w:val="clear" w:color="auto" w:fill="2A2C31"/>
          </w:tcPr>
          <w:p>
            <w:pPr>
              <w:spacing w:after="20"/>
            </w:pPr>
            <w:r>
              <w:rPr>
                <w:b/>
                <w:color w:val="FFFFFF"/>
                <w:sz w:val="16"/>
              </w:rPr>
              <w:t>This platform</w:t>
            </w:r>
          </w:p>
        </w:tc>
      </w:tr>
      <w:tr>
        <w:tc>
          <w:tcPr>
            <w:tcW w:type="dxa" w:w="1474"/>
          </w:tcPr>
          <w:p>
            <w:pPr>
              <w:spacing w:after="20"/>
            </w:pPr>
            <w:r>
              <w:rPr>
                <w:b w:val="0"/>
                <w:sz w:val="16"/>
              </w:rPr>
              <w:t>Primary user</w:t>
            </w:r>
          </w:p>
        </w:tc>
        <w:tc>
          <w:tcPr>
            <w:tcW w:type="dxa" w:w="1474"/>
          </w:tcPr>
          <w:p>
            <w:pPr>
              <w:spacing w:after="20"/>
            </w:pPr>
            <w:r>
              <w:rPr>
                <w:b w:val="0"/>
                <w:sz w:val="16"/>
              </w:rPr>
              <w:t>Active traders</w:t>
            </w:r>
          </w:p>
        </w:tc>
        <w:tc>
          <w:tcPr>
            <w:tcW w:type="dxa" w:w="1361"/>
          </w:tcPr>
          <w:p>
            <w:pPr>
              <w:spacing w:after="20"/>
            </w:pPr>
            <w:r>
              <w:rPr>
                <w:b w:val="0"/>
                <w:sz w:val="16"/>
              </w:rPr>
              <w:t>Own customers</w:t>
            </w:r>
          </w:p>
        </w:tc>
        <w:tc>
          <w:tcPr>
            <w:tcW w:type="dxa" w:w="1417"/>
          </w:tcPr>
          <w:p>
            <w:pPr>
              <w:spacing w:after="20"/>
            </w:pPr>
            <w:r>
              <w:rPr>
                <w:b w:val="0"/>
                <w:sz w:val="16"/>
              </w:rPr>
              <w:t>Followers</w:t>
            </w:r>
          </w:p>
        </w:tc>
        <w:tc>
          <w:tcPr>
            <w:tcW w:type="dxa" w:w="1474"/>
          </w:tcPr>
          <w:p>
            <w:pPr>
              <w:spacing w:after="20"/>
            </w:pPr>
            <w:r>
              <w:rPr>
                <w:b w:val="0"/>
                <w:sz w:val="16"/>
              </w:rPr>
              <w:t>Learners</w:t>
            </w:r>
          </w:p>
        </w:tc>
        <w:tc>
          <w:tcPr>
            <w:tcW w:type="dxa" w:w="2211"/>
          </w:tcPr>
          <w:p>
            <w:pPr>
              <w:spacing w:after="20"/>
            </w:pPr>
            <w:r>
              <w:rPr>
                <w:b/>
                <w:sz w:val="16"/>
              </w:rPr>
              <w:t>Underprivileged first, then retail, then affluent</w:t>
            </w:r>
          </w:p>
        </w:tc>
      </w:tr>
      <w:tr>
        <w:tc>
          <w:tcPr>
            <w:tcW w:type="dxa" w:w="1474"/>
            <w:shd w:val="clear" w:color="auto" w:fill="FAF6EA"/>
          </w:tcPr>
          <w:p>
            <w:pPr>
              <w:spacing w:after="20"/>
            </w:pPr>
            <w:r>
              <w:rPr>
                <w:b w:val="0"/>
                <w:sz w:val="16"/>
              </w:rPr>
              <w:t>Language / channel</w:t>
            </w:r>
          </w:p>
        </w:tc>
        <w:tc>
          <w:tcPr>
            <w:tcW w:type="dxa" w:w="1474"/>
            <w:shd w:val="clear" w:color="auto" w:fill="FAF6EA"/>
          </w:tcPr>
          <w:p>
            <w:pPr>
              <w:spacing w:after="20"/>
            </w:pPr>
            <w:r>
              <w:rPr>
                <w:b w:val="0"/>
                <w:sz w:val="16"/>
              </w:rPr>
              <w:t>English app</w:t>
            </w:r>
          </w:p>
        </w:tc>
        <w:tc>
          <w:tcPr>
            <w:tcW w:type="dxa" w:w="1361"/>
            <w:shd w:val="clear" w:color="auto" w:fill="FAF6EA"/>
          </w:tcPr>
          <w:p>
            <w:pPr>
              <w:spacing w:after="20"/>
            </w:pPr>
            <w:r>
              <w:rPr>
                <w:b w:val="0"/>
                <w:sz w:val="16"/>
              </w:rPr>
              <w:t>App and branch</w:t>
            </w:r>
          </w:p>
        </w:tc>
        <w:tc>
          <w:tcPr>
            <w:tcW w:type="dxa" w:w="1417"/>
            <w:shd w:val="clear" w:color="auto" w:fill="FAF6EA"/>
          </w:tcPr>
          <w:p>
            <w:pPr>
              <w:spacing w:after="20"/>
            </w:pPr>
            <w:r>
              <w:rPr>
                <w:b w:val="0"/>
                <w:sz w:val="16"/>
              </w:rPr>
              <w:t>Video, chat groups</w:t>
            </w:r>
          </w:p>
        </w:tc>
        <w:tc>
          <w:tcPr>
            <w:tcW w:type="dxa" w:w="1474"/>
            <w:shd w:val="clear" w:color="auto" w:fill="FAF6EA"/>
          </w:tcPr>
          <w:p>
            <w:pPr>
              <w:spacing w:after="20"/>
            </w:pPr>
            <w:r>
              <w:rPr>
                <w:b w:val="0"/>
                <w:sz w:val="16"/>
              </w:rPr>
              <w:t>Web, workshops</w:t>
            </w:r>
          </w:p>
        </w:tc>
        <w:tc>
          <w:tcPr>
            <w:tcW w:type="dxa" w:w="2211"/>
            <w:shd w:val="clear" w:color="auto" w:fill="FAF6EA"/>
          </w:tcPr>
          <w:p>
            <w:pPr>
              <w:spacing w:after="20"/>
            </w:pPr>
            <w:r>
              <w:rPr>
                <w:b/>
                <w:sz w:val="16"/>
              </w:rPr>
              <w:t>Hindi voice, WhatsApp, SMS, offline</w:t>
            </w:r>
          </w:p>
        </w:tc>
      </w:tr>
      <w:tr>
        <w:tc>
          <w:tcPr>
            <w:tcW w:type="dxa" w:w="1474"/>
          </w:tcPr>
          <w:p>
            <w:pPr>
              <w:spacing w:after="20"/>
            </w:pPr>
            <w:r>
              <w:rPr>
                <w:b w:val="0"/>
                <w:sz w:val="16"/>
              </w:rPr>
              <w:t>Numbers come from</w:t>
            </w:r>
          </w:p>
        </w:tc>
        <w:tc>
          <w:tcPr>
            <w:tcW w:type="dxa" w:w="1474"/>
          </w:tcPr>
          <w:p>
            <w:pPr>
              <w:spacing w:after="20"/>
            </w:pPr>
            <w:r>
              <w:rPr>
                <w:b w:val="0"/>
                <w:sz w:val="16"/>
              </w:rPr>
              <w:t>Feeds</w:t>
            </w:r>
          </w:p>
        </w:tc>
        <w:tc>
          <w:tcPr>
            <w:tcW w:type="dxa" w:w="1361"/>
          </w:tcPr>
          <w:p>
            <w:pPr>
              <w:spacing w:after="20"/>
            </w:pPr>
            <w:r>
              <w:rPr>
                <w:b w:val="0"/>
                <w:sz w:val="16"/>
              </w:rPr>
              <w:t>Core systems</w:t>
            </w:r>
          </w:p>
        </w:tc>
        <w:tc>
          <w:tcPr>
            <w:tcW w:type="dxa" w:w="1417"/>
          </w:tcPr>
          <w:p>
            <w:pPr>
              <w:spacing w:after="20"/>
            </w:pPr>
            <w:r>
              <w:rPr>
                <w:b w:val="0"/>
                <w:sz w:val="16"/>
              </w:rPr>
              <w:t>Opinion</w:t>
            </w:r>
          </w:p>
        </w:tc>
        <w:tc>
          <w:tcPr>
            <w:tcW w:type="dxa" w:w="1474"/>
          </w:tcPr>
          <w:p>
            <w:pPr>
              <w:spacing w:after="20"/>
            </w:pPr>
            <w:r>
              <w:rPr>
                <w:b w:val="0"/>
                <w:sz w:val="16"/>
              </w:rPr>
              <w:t>Static examples</w:t>
            </w:r>
          </w:p>
        </w:tc>
        <w:tc>
          <w:tcPr>
            <w:tcW w:type="dxa" w:w="2211"/>
          </w:tcPr>
          <w:p>
            <w:pPr>
              <w:spacing w:after="20"/>
            </w:pPr>
            <w:r>
              <w:rPr>
                <w:b/>
                <w:sz w:val="16"/>
              </w:rPr>
              <w:t>Deterministic code + dated data</w:t>
            </w:r>
          </w:p>
        </w:tc>
      </w:tr>
      <w:tr>
        <w:tc>
          <w:tcPr>
            <w:tcW w:type="dxa" w:w="1474"/>
            <w:shd w:val="clear" w:color="auto" w:fill="FAF6EA"/>
          </w:tcPr>
          <w:p>
            <w:pPr>
              <w:spacing w:after="20"/>
            </w:pPr>
            <w:r>
              <w:rPr>
                <w:b w:val="0"/>
                <w:sz w:val="16"/>
              </w:rPr>
              <w:t>Scam help</w:t>
            </w:r>
          </w:p>
        </w:tc>
        <w:tc>
          <w:tcPr>
            <w:tcW w:type="dxa" w:w="1474"/>
            <w:shd w:val="clear" w:color="auto" w:fill="FAF6EA"/>
          </w:tcPr>
          <w:p>
            <w:pPr>
              <w:spacing w:after="20"/>
            </w:pPr>
            <w:r>
              <w:rPr>
                <w:b w:val="0"/>
                <w:sz w:val="16"/>
              </w:rPr>
              <w:t>Banner warnings</w:t>
            </w:r>
          </w:p>
        </w:tc>
        <w:tc>
          <w:tcPr>
            <w:tcW w:type="dxa" w:w="1361"/>
            <w:shd w:val="clear" w:color="auto" w:fill="FAF6EA"/>
          </w:tcPr>
          <w:p>
            <w:pPr>
              <w:spacing w:after="20"/>
            </w:pPr>
            <w:r>
              <w:rPr>
                <w:b w:val="0"/>
                <w:sz w:val="16"/>
              </w:rPr>
              <w:t>Generic alerts</w:t>
            </w:r>
          </w:p>
        </w:tc>
        <w:tc>
          <w:tcPr>
            <w:tcW w:type="dxa" w:w="1417"/>
            <w:shd w:val="clear" w:color="auto" w:fill="FAF6EA"/>
          </w:tcPr>
          <w:p>
            <w:pPr>
              <w:spacing w:after="20"/>
            </w:pPr>
            <w:r>
              <w:rPr>
                <w:b w:val="0"/>
                <w:sz w:val="16"/>
              </w:rPr>
              <w:t>Often the source</w:t>
            </w:r>
          </w:p>
        </w:tc>
        <w:tc>
          <w:tcPr>
            <w:tcW w:type="dxa" w:w="1474"/>
            <w:shd w:val="clear" w:color="auto" w:fill="FAF6EA"/>
          </w:tcPr>
          <w:p>
            <w:pPr>
              <w:spacing w:after="20"/>
            </w:pPr>
            <w:r>
              <w:rPr>
                <w:b w:val="0"/>
                <w:sz w:val="16"/>
              </w:rPr>
              <w:t>Awareness posters</w:t>
            </w:r>
          </w:p>
        </w:tc>
        <w:tc>
          <w:tcPr>
            <w:tcW w:type="dxa" w:w="2211"/>
            <w:shd w:val="clear" w:color="auto" w:fill="FAF6EA"/>
          </w:tcPr>
          <w:p>
            <w:pPr>
              <w:spacing w:after="20"/>
            </w:pPr>
            <w:r>
              <w:rPr>
                <w:b/>
                <w:sz w:val="16"/>
              </w:rPr>
              <w:t>Script-specific answers, rehearsal, recovery coach</w:t>
            </w:r>
          </w:p>
        </w:tc>
      </w:tr>
      <w:tr>
        <w:tc>
          <w:tcPr>
            <w:tcW w:type="dxa" w:w="1474"/>
          </w:tcPr>
          <w:p>
            <w:pPr>
              <w:spacing w:after="20"/>
            </w:pPr>
            <w:r>
              <w:rPr>
                <w:b w:val="0"/>
                <w:sz w:val="16"/>
              </w:rPr>
              <w:t>Advice stance</w:t>
            </w:r>
          </w:p>
        </w:tc>
        <w:tc>
          <w:tcPr>
            <w:tcW w:type="dxa" w:w="1474"/>
          </w:tcPr>
          <w:p>
            <w:pPr>
              <w:spacing w:after="20"/>
            </w:pPr>
            <w:r>
              <w:rPr>
                <w:b w:val="0"/>
                <w:sz w:val="16"/>
              </w:rPr>
              <w:t>Encourage trading</w:t>
            </w:r>
          </w:p>
        </w:tc>
        <w:tc>
          <w:tcPr>
            <w:tcW w:type="dxa" w:w="1361"/>
          </w:tcPr>
          <w:p>
            <w:pPr>
              <w:spacing w:after="20"/>
            </w:pPr>
            <w:r>
              <w:rPr>
                <w:b w:val="0"/>
                <w:sz w:val="16"/>
              </w:rPr>
              <w:t>Sell bank products</w:t>
            </w:r>
          </w:p>
        </w:tc>
        <w:tc>
          <w:tcPr>
            <w:tcW w:type="dxa" w:w="1417"/>
          </w:tcPr>
          <w:p>
            <w:pPr>
              <w:spacing w:after="20"/>
            </w:pPr>
            <w:r>
              <w:rPr>
                <w:b w:val="0"/>
                <w:sz w:val="16"/>
              </w:rPr>
              <w:t>Tips</w:t>
            </w:r>
          </w:p>
        </w:tc>
        <w:tc>
          <w:tcPr>
            <w:tcW w:type="dxa" w:w="1474"/>
          </w:tcPr>
          <w:p>
            <w:pPr>
              <w:spacing w:after="20"/>
            </w:pPr>
            <w:r>
              <w:rPr>
                <w:b w:val="0"/>
                <w:sz w:val="16"/>
              </w:rPr>
              <w:t>Education</w:t>
            </w:r>
          </w:p>
        </w:tc>
        <w:tc>
          <w:tcPr>
            <w:tcW w:type="dxa" w:w="2211"/>
          </w:tcPr>
          <w:p>
            <w:pPr>
              <w:spacing w:after="20"/>
            </w:pPr>
            <w:r>
              <w:rPr>
                <w:b/>
                <w:sz w:val="16"/>
              </w:rPr>
              <w:t>Describe only; no buy/sell</w:t>
            </w:r>
          </w:p>
        </w:tc>
      </w:tr>
      <w:tr>
        <w:tc>
          <w:tcPr>
            <w:tcW w:type="dxa" w:w="1474"/>
            <w:shd w:val="clear" w:color="auto" w:fill="FAF6EA"/>
          </w:tcPr>
          <w:p>
            <w:pPr>
              <w:spacing w:after="20"/>
            </w:pPr>
            <w:r>
              <w:rPr>
                <w:b w:val="0"/>
                <w:sz w:val="16"/>
              </w:rPr>
              <w:t>Cost to the user</w:t>
            </w:r>
          </w:p>
        </w:tc>
        <w:tc>
          <w:tcPr>
            <w:tcW w:type="dxa" w:w="1474"/>
            <w:shd w:val="clear" w:color="auto" w:fill="FAF6EA"/>
          </w:tcPr>
          <w:p>
            <w:pPr>
              <w:spacing w:after="20"/>
            </w:pPr>
            <w:r>
              <w:rPr>
                <w:b w:val="0"/>
                <w:sz w:val="16"/>
              </w:rPr>
              <w:t>Brokerage and fees</w:t>
            </w:r>
          </w:p>
        </w:tc>
        <w:tc>
          <w:tcPr>
            <w:tcW w:type="dxa" w:w="1361"/>
            <w:shd w:val="clear" w:color="auto" w:fill="FAF6EA"/>
          </w:tcPr>
          <w:p>
            <w:pPr>
              <w:spacing w:after="20"/>
            </w:pPr>
            <w:r>
              <w:rPr>
                <w:b w:val="0"/>
                <w:sz w:val="16"/>
              </w:rPr>
              <w:t>Free, with product push</w:t>
            </w:r>
          </w:p>
        </w:tc>
        <w:tc>
          <w:tcPr>
            <w:tcW w:type="dxa" w:w="1417"/>
            <w:shd w:val="clear" w:color="auto" w:fill="FAF6EA"/>
          </w:tcPr>
          <w:p>
            <w:pPr>
              <w:spacing w:after="20"/>
            </w:pPr>
            <w:r>
              <w:rPr>
                <w:b w:val="0"/>
                <w:sz w:val="16"/>
              </w:rPr>
              <w:t>Free or paid courses</w:t>
            </w:r>
          </w:p>
        </w:tc>
        <w:tc>
          <w:tcPr>
            <w:tcW w:type="dxa" w:w="1474"/>
            <w:shd w:val="clear" w:color="auto" w:fill="FAF6EA"/>
          </w:tcPr>
          <w:p>
            <w:pPr>
              <w:spacing w:after="20"/>
            </w:pPr>
            <w:r>
              <w:rPr>
                <w:b w:val="0"/>
                <w:sz w:val="16"/>
              </w:rPr>
              <w:t>Free</w:t>
            </w:r>
          </w:p>
        </w:tc>
        <w:tc>
          <w:tcPr>
            <w:tcW w:type="dxa" w:w="2211"/>
            <w:shd w:val="clear" w:color="auto" w:fill="FAF6EA"/>
          </w:tcPr>
          <w:p>
            <w:pPr>
              <w:spacing w:after="20"/>
            </w:pPr>
            <w:r>
              <w:rPr>
                <w:b/>
                <w:sz w:val="16"/>
              </w:rPr>
              <w:t>Free; funded by partners</w:t>
            </w:r>
          </w:p>
        </w:tc>
      </w:tr>
      <w:tr>
        <w:tc>
          <w:tcPr>
            <w:tcW w:type="dxa" w:w="1474"/>
          </w:tcPr>
          <w:p>
            <w:pPr>
              <w:spacing w:after="20"/>
            </w:pPr>
            <w:r>
              <w:rPr>
                <w:b w:val="0"/>
                <w:sz w:val="16"/>
              </w:rPr>
              <w:t>Works offline</w:t>
            </w:r>
          </w:p>
        </w:tc>
        <w:tc>
          <w:tcPr>
            <w:tcW w:type="dxa" w:w="1474"/>
          </w:tcPr>
          <w:p>
            <w:pPr>
              <w:spacing w:after="20"/>
            </w:pPr>
            <w:r>
              <w:rPr>
                <w:b w:val="0"/>
                <w:sz w:val="16"/>
              </w:rPr>
              <w:t>No</w:t>
            </w:r>
          </w:p>
        </w:tc>
        <w:tc>
          <w:tcPr>
            <w:tcW w:type="dxa" w:w="1361"/>
          </w:tcPr>
          <w:p>
            <w:pPr>
              <w:spacing w:after="20"/>
            </w:pPr>
            <w:r>
              <w:rPr>
                <w:b w:val="0"/>
                <w:sz w:val="16"/>
              </w:rPr>
              <w:t>Limited</w:t>
            </w:r>
          </w:p>
        </w:tc>
        <w:tc>
          <w:tcPr>
            <w:tcW w:type="dxa" w:w="1417"/>
          </w:tcPr>
          <w:p>
            <w:pPr>
              <w:spacing w:after="20"/>
            </w:pPr>
            <w:r>
              <w:rPr>
                <w:b w:val="0"/>
                <w:sz w:val="16"/>
              </w:rPr>
              <w:t>No</w:t>
            </w:r>
          </w:p>
        </w:tc>
        <w:tc>
          <w:tcPr>
            <w:tcW w:type="dxa" w:w="1474"/>
          </w:tcPr>
          <w:p>
            <w:pPr>
              <w:spacing w:after="20"/>
            </w:pPr>
            <w:r>
              <w:rPr>
                <w:b w:val="0"/>
                <w:sz w:val="16"/>
              </w:rPr>
              <w:t>No</w:t>
            </w:r>
          </w:p>
        </w:tc>
        <w:tc>
          <w:tcPr>
            <w:tcW w:type="dxa" w:w="2211"/>
          </w:tcPr>
          <w:p>
            <w:pPr>
              <w:spacing w:after="20"/>
            </w:pPr>
            <w:r>
              <w:rPr>
                <w:b/>
                <w:sz w:val="16"/>
              </w:rPr>
              <w:t>Yes</w:t>
            </w:r>
          </w:p>
        </w:tc>
      </w:tr>
    </w:tbl>
    <w:p>
      <w:pPr>
        <w:spacing w:after="40"/>
      </w:pPr>
    </w:p>
    <w:p>
      <w:pPr>
        <w:pStyle w:val="Heading2"/>
      </w:pPr>
      <w:r>
        <w:t>Our defensible edges</w:t>
      </w:r>
    </w:p>
    <w:p>
      <w:pPr>
        <w:pStyle w:val="ListBullet"/>
        <w:spacing w:after="40"/>
      </w:pPr>
      <w:r>
        <w:rPr>
          <w:b/>
        </w:rPr>
        <w:t>Mass-first design.</w:t>
      </w:r>
      <w:r>
        <w:rPr>
          <w:b w:val="0"/>
        </w:rPr>
        <w:t xml:space="preserve"> The hardest users set the standard: voice, Hindi, offline, shared device.</w:t>
      </w:r>
    </w:p>
    <w:p>
      <w:pPr>
        <w:pStyle w:val="ListBullet"/>
        <w:spacing w:after="40"/>
      </w:pPr>
      <w:r>
        <w:rPr>
          <w:b/>
        </w:rPr>
        <w:t>Task completion, not content.</w:t>
      </w:r>
      <w:r>
        <w:rPr>
          <w:b w:val="0"/>
        </w:rPr>
        <w:t xml:space="preserve"> It computes the loan cost and traces the missing payment.</w:t>
      </w:r>
    </w:p>
    <w:p>
      <w:pPr>
        <w:pStyle w:val="ListBullet"/>
        <w:spacing w:after="40"/>
      </w:pPr>
      <w:r>
        <w:rPr>
          <w:b/>
        </w:rPr>
        <w:t>Trust architecture.</w:t>
      </w:r>
      <w:r>
        <w:rPr>
          <w:b w:val="0"/>
        </w:rPr>
        <w:t xml:space="preserve"> No invented numbers, visible data age, confidence marks, tamper-evident record.</w:t>
      </w:r>
    </w:p>
    <w:p>
      <w:pPr>
        <w:pStyle w:val="ListBullet"/>
        <w:spacing w:after="40"/>
      </w:pPr>
      <w:r>
        <w:rPr>
          <w:b/>
        </w:rPr>
        <w:t>Cost structure.</w:t>
      </w:r>
      <w:r>
        <w:rPr>
          <w:b w:val="0"/>
        </w:rPr>
        <w:t xml:space="preserve"> Free and local means serving a village costs almost nothing per user.</w:t>
      </w:r>
    </w:p>
    <w:p>
      <w:pPr>
        <w:pStyle w:val="ListBullet"/>
        <w:spacing w:after="40"/>
      </w:pPr>
      <w:r>
        <w:rPr>
          <w:b/>
        </w:rPr>
        <w:t>One engine, three audiences.</w:t>
      </w:r>
      <w:r>
        <w:rPr>
          <w:b w:val="0"/>
        </w:rPr>
        <w:t xml:space="preserve"> Rural, retail and affluent features share the same core, so each group improves the others.</w:t>
      </w:r>
    </w:p>
    <w:p>
      <w:pPr>
        <w:pStyle w:val="Heading1"/>
        <w:pageBreakBefore/>
      </w:pPr>
      <w:r>
        <w:t>15. Taking it to market: the business</w:t>
      </w:r>
    </w:p>
    <w:p>
      <w:r>
        <w:rPr>
          <w:b w:val="0"/>
        </w:rPr>
        <w:t>The users who benefit most cannot pay, and should not have to. The business therefore sells to the institutions that profit from those users being safer and better served, and sells premium features to the small group that can pay.</w:t>
      </w:r>
    </w:p>
    <w:p>
      <w:pPr>
        <w:keepNext/>
        <w:spacing w:after="40"/>
        <w:jc w:val="center"/>
      </w:pPr>
      <w:r>
        <w:drawing>
          <wp:inline xmlns:a="http://schemas.openxmlformats.org/drawingml/2006/main" xmlns:pic="http://schemas.openxmlformats.org/drawingml/2006/picture">
            <wp:extent cx="5832000" cy="3274364"/>
            <wp:docPr id="20" name="Picture 20"/>
            <wp:cNvGraphicFramePr>
              <a:graphicFrameLocks noChangeAspect="1"/>
            </wp:cNvGraphicFramePr>
            <a:graphic>
              <a:graphicData uri="http://schemas.openxmlformats.org/drawingml/2006/picture">
                <pic:pic>
                  <pic:nvPicPr>
                    <pic:cNvPr id="0" name="business.png"/>
                    <pic:cNvPicPr/>
                  </pic:nvPicPr>
                  <pic:blipFill>
                    <a:blip r:embed="rId28"/>
                    <a:stretch>
                      <a:fillRect/>
                    </a:stretch>
                  </pic:blipFill>
                  <pic:spPr>
                    <a:xfrm>
                      <a:off x="0" y="0"/>
                      <a:ext cx="5832000" cy="3274364"/>
                    </a:xfrm>
                    <a:prstGeom prst="rect"/>
                  </pic:spPr>
                </pic:pic>
              </a:graphicData>
            </a:graphic>
          </wp:inline>
        </w:drawing>
      </w:r>
    </w:p>
    <w:p>
      <w:pPr>
        <w:spacing w:after="160"/>
        <w:jc w:val="center"/>
      </w:pPr>
      <w:r>
        <w:rPr>
          <w:b w:val="0"/>
          <w:i/>
          <w:color w:val="6B675C"/>
          <w:sz w:val="17"/>
        </w:rPr>
        <w:t>Figure 20. The business model. Users on the left use it free; institutions on the right pay.</w:t>
      </w:r>
    </w:p>
    <w:tbl>
      <w:tblPr>
        <w:tblW w:type="auto" w:w="0"/>
        <w:jc w:val="center"/>
        <w:tblLayout w:type="fixed"/>
        <w:tblLook w:firstColumn="1" w:firstRow="1" w:lastColumn="0" w:lastRow="0" w:noHBand="0" w:noVBand="1" w:val="04A0"/>
        <w:tblBorders>
          <w:top w:val="single" w:sz="4" w:color="D8D0BC"/>
          <w:left w:val="single" w:sz="4" w:color="D8D0BC"/>
          <w:bottom w:val="single" w:sz="4" w:color="D8D0BC"/>
          <w:right w:val="single" w:sz="4" w:color="D8D0BC"/>
          <w:insideH w:val="single" w:sz="4" w:color="D8D0BC"/>
          <w:insideV w:val="single" w:sz="4" w:color="D8D0BC"/>
        </w:tblBorders>
      </w:tblPr>
      <w:tblGrid>
        <w:gridCol w:w="2381"/>
        <w:gridCol w:w="2381"/>
        <w:gridCol w:w="2381"/>
        <w:gridCol w:w="2381"/>
      </w:tblGrid>
      <w:tr>
        <w:tc>
          <w:tcPr>
            <w:tcW w:type="dxa" w:w="1814"/>
            <w:shd w:val="clear" w:color="auto" w:fill="2A2C31"/>
          </w:tcPr>
          <w:p>
            <w:pPr>
              <w:spacing w:after="20"/>
            </w:pPr>
            <w:r>
              <w:rPr>
                <w:b/>
                <w:color w:val="FFFFFF"/>
                <w:sz w:val="16"/>
              </w:rPr>
              <w:t>Revenue stream</w:t>
            </w:r>
          </w:p>
        </w:tc>
        <w:tc>
          <w:tcPr>
            <w:tcW w:type="dxa" w:w="2608"/>
            <w:shd w:val="clear" w:color="auto" w:fill="2A2C31"/>
          </w:tcPr>
          <w:p>
            <w:pPr>
              <w:spacing w:after="20"/>
            </w:pPr>
            <w:r>
              <w:rPr>
                <w:b/>
                <w:color w:val="FFFFFF"/>
                <w:sz w:val="16"/>
              </w:rPr>
              <w:t>Customer</w:t>
            </w:r>
          </w:p>
        </w:tc>
        <w:tc>
          <w:tcPr>
            <w:tcW w:type="dxa" w:w="2778"/>
            <w:shd w:val="clear" w:color="auto" w:fill="2A2C31"/>
          </w:tcPr>
          <w:p>
            <w:pPr>
              <w:spacing w:after="20"/>
            </w:pPr>
            <w:r>
              <w:rPr>
                <w:b/>
                <w:color w:val="FFFFFF"/>
                <w:sz w:val="16"/>
              </w:rPr>
              <w:t>What they buy</w:t>
            </w:r>
          </w:p>
        </w:tc>
        <w:tc>
          <w:tcPr>
            <w:tcW w:type="dxa" w:w="2211"/>
            <w:shd w:val="clear" w:color="auto" w:fill="2A2C31"/>
          </w:tcPr>
          <w:p>
            <w:pPr>
              <w:spacing w:after="20"/>
            </w:pPr>
            <w:r>
              <w:rPr>
                <w:b/>
                <w:color w:val="FFFFFF"/>
                <w:sz w:val="16"/>
              </w:rPr>
              <w:t>Why they pay</w:t>
            </w:r>
          </w:p>
        </w:tc>
      </w:tr>
      <w:tr>
        <w:tc>
          <w:tcPr>
            <w:tcW w:type="dxa" w:w="1814"/>
          </w:tcPr>
          <w:p>
            <w:pPr>
              <w:spacing w:after="20"/>
            </w:pPr>
            <w:r>
              <w:rPr>
                <w:b w:val="0"/>
                <w:sz w:val="16"/>
              </w:rPr>
              <w:t>Institutional licence</w:t>
            </w:r>
          </w:p>
        </w:tc>
        <w:tc>
          <w:tcPr>
            <w:tcW w:type="dxa" w:w="2608"/>
          </w:tcPr>
          <w:p>
            <w:pPr>
              <w:spacing w:after="20"/>
            </w:pPr>
            <w:r>
              <w:rPr>
                <w:b w:val="0"/>
                <w:sz w:val="16"/>
              </w:rPr>
              <w:t>Banks, co-operative banks, MFIs, business correspondents</w:t>
            </w:r>
          </w:p>
        </w:tc>
        <w:tc>
          <w:tcPr>
            <w:tcW w:type="dxa" w:w="2778"/>
          </w:tcPr>
          <w:p>
            <w:pPr>
              <w:spacing w:after="20"/>
            </w:pPr>
            <w:r>
              <w:rPr>
                <w:b w:val="0"/>
                <w:sz w:val="16"/>
              </w:rPr>
              <w:t>White-label scam shield and loan-fairness tools for their customers; WhatsApp channel</w:t>
            </w:r>
          </w:p>
        </w:tc>
        <w:tc>
          <w:tcPr>
            <w:tcW w:type="dxa" w:w="2211"/>
          </w:tcPr>
          <w:p>
            <w:pPr>
              <w:spacing w:after="20"/>
            </w:pPr>
            <w:r>
              <w:rPr>
                <w:b w:val="0"/>
                <w:sz w:val="16"/>
              </w:rPr>
              <w:t>Lower fraud losses, fewer complaints, financial-inclusion targets</w:t>
            </w:r>
          </w:p>
        </w:tc>
      </w:tr>
      <w:tr>
        <w:tc>
          <w:tcPr>
            <w:tcW w:type="dxa" w:w="1814"/>
            <w:shd w:val="clear" w:color="auto" w:fill="FAF6EA"/>
          </w:tcPr>
          <w:p>
            <w:pPr>
              <w:spacing w:after="20"/>
            </w:pPr>
            <w:r>
              <w:rPr>
                <w:b w:val="0"/>
                <w:sz w:val="16"/>
              </w:rPr>
              <w:t>Programme contracts</w:t>
            </w:r>
          </w:p>
        </w:tc>
        <w:tc>
          <w:tcPr>
            <w:tcW w:type="dxa" w:w="2608"/>
            <w:shd w:val="clear" w:color="auto" w:fill="FAF6EA"/>
          </w:tcPr>
          <w:p>
            <w:pPr>
              <w:spacing w:after="20"/>
            </w:pPr>
            <w:r>
              <w:rPr>
                <w:b w:val="0"/>
                <w:sz w:val="16"/>
              </w:rPr>
              <w:t>NGOs, CSR funds, state rural-livelihood missions, SHG federations</w:t>
            </w:r>
          </w:p>
        </w:tc>
        <w:tc>
          <w:tcPr>
            <w:tcW w:type="dxa" w:w="2778"/>
            <w:shd w:val="clear" w:color="auto" w:fill="FAF6EA"/>
          </w:tcPr>
          <w:p>
            <w:pPr>
              <w:spacing w:after="20"/>
            </w:pPr>
            <w:r>
              <w:rPr>
                <w:b w:val="0"/>
                <w:sz w:val="16"/>
              </w:rPr>
              <w:t>Deployment in a region with local-language content and impact reporting</w:t>
            </w:r>
          </w:p>
        </w:tc>
        <w:tc>
          <w:tcPr>
            <w:tcW w:type="dxa" w:w="2211"/>
            <w:shd w:val="clear" w:color="auto" w:fill="FAF6EA"/>
          </w:tcPr>
          <w:p>
            <w:pPr>
              <w:spacing w:after="20"/>
            </w:pPr>
            <w:r>
              <w:rPr>
                <w:b w:val="0"/>
                <w:sz w:val="16"/>
              </w:rPr>
              <w:t>Measurable outcomes: scams avoided, benefits claimed</w:t>
            </w:r>
          </w:p>
        </w:tc>
      </w:tr>
      <w:tr>
        <w:tc>
          <w:tcPr>
            <w:tcW w:type="dxa" w:w="1814"/>
          </w:tcPr>
          <w:p>
            <w:pPr>
              <w:spacing w:after="20"/>
            </w:pPr>
            <w:r>
              <w:rPr>
                <w:b w:val="0"/>
                <w:sz w:val="16"/>
              </w:rPr>
              <w:t>Channel partnerships</w:t>
            </w:r>
          </w:p>
        </w:tc>
        <w:tc>
          <w:tcPr>
            <w:tcW w:type="dxa" w:w="2608"/>
          </w:tcPr>
          <w:p>
            <w:pPr>
              <w:spacing w:after="20"/>
            </w:pPr>
            <w:r>
              <w:rPr>
                <w:b w:val="0"/>
                <w:sz w:val="16"/>
              </w:rPr>
              <w:t>Common Service Centres, post offices, agri co-operatives</w:t>
            </w:r>
          </w:p>
        </w:tc>
        <w:tc>
          <w:tcPr>
            <w:tcW w:type="dxa" w:w="2778"/>
          </w:tcPr>
          <w:p>
            <w:pPr>
              <w:spacing w:after="20"/>
            </w:pPr>
            <w:r>
              <w:rPr>
                <w:b w:val="0"/>
                <w:sz w:val="16"/>
              </w:rPr>
              <w:t>Kiosk mode and training</w:t>
            </w:r>
          </w:p>
        </w:tc>
        <w:tc>
          <w:tcPr>
            <w:tcW w:type="dxa" w:w="2211"/>
          </w:tcPr>
          <w:p>
            <w:pPr>
              <w:spacing w:after="20"/>
            </w:pPr>
            <w:r>
              <w:rPr>
                <w:b w:val="0"/>
                <w:sz w:val="16"/>
              </w:rPr>
              <w:t>New service for footfall</w:t>
            </w:r>
          </w:p>
        </w:tc>
      </w:tr>
      <w:tr>
        <w:tc>
          <w:tcPr>
            <w:tcW w:type="dxa" w:w="1814"/>
            <w:shd w:val="clear" w:color="auto" w:fill="FAF6EA"/>
          </w:tcPr>
          <w:p>
            <w:pPr>
              <w:spacing w:after="20"/>
            </w:pPr>
            <w:r>
              <w:rPr>
                <w:b w:val="0"/>
                <w:sz w:val="16"/>
              </w:rPr>
              <w:t>Premium subscriptions</w:t>
            </w:r>
          </w:p>
        </w:tc>
        <w:tc>
          <w:tcPr>
            <w:tcW w:type="dxa" w:w="2608"/>
            <w:shd w:val="clear" w:color="auto" w:fill="FAF6EA"/>
          </w:tcPr>
          <w:p>
            <w:pPr>
              <w:spacing w:after="20"/>
            </w:pPr>
            <w:r>
              <w:rPr>
                <w:b w:val="0"/>
                <w:sz w:val="16"/>
              </w:rPr>
              <w:t>Retail and affluent users</w:t>
            </w:r>
          </w:p>
        </w:tc>
        <w:tc>
          <w:tcPr>
            <w:tcW w:type="dxa" w:w="2778"/>
            <w:shd w:val="clear" w:color="auto" w:fill="FAF6EA"/>
          </w:tcPr>
          <w:p>
            <w:pPr>
              <w:spacing w:after="20"/>
            </w:pPr>
            <w:r>
              <w:rPr>
                <w:b w:val="0"/>
                <w:sz w:val="16"/>
              </w:rPr>
              <w:t>Research summaries, alerts, reports, multi-portfolio</w:t>
            </w:r>
          </w:p>
        </w:tc>
        <w:tc>
          <w:tcPr>
            <w:tcW w:type="dxa" w:w="2211"/>
            <w:shd w:val="clear" w:color="auto" w:fill="FAF6EA"/>
          </w:tcPr>
          <w:p>
            <w:pPr>
              <w:spacing w:after="20"/>
            </w:pPr>
            <w:r>
              <w:rPr>
                <w:b w:val="0"/>
                <w:sz w:val="16"/>
              </w:rPr>
              <w:t>Time saved, discipline, proof</w:t>
            </w:r>
          </w:p>
        </w:tc>
      </w:tr>
      <w:tr>
        <w:tc>
          <w:tcPr>
            <w:tcW w:type="dxa" w:w="1814"/>
          </w:tcPr>
          <w:p>
            <w:pPr>
              <w:spacing w:after="20"/>
            </w:pPr>
            <w:r>
              <w:rPr>
                <w:b w:val="0"/>
                <w:sz w:val="16"/>
              </w:rPr>
              <w:t>API and data</w:t>
            </w:r>
          </w:p>
        </w:tc>
        <w:tc>
          <w:tcPr>
            <w:tcW w:type="dxa" w:w="2608"/>
          </w:tcPr>
          <w:p>
            <w:pPr>
              <w:spacing w:after="20"/>
            </w:pPr>
            <w:r>
              <w:rPr>
                <w:b w:val="0"/>
                <w:sz w:val="16"/>
              </w:rPr>
              <w:t>Fintechs, advisers</w:t>
            </w:r>
          </w:p>
        </w:tc>
        <w:tc>
          <w:tcPr>
            <w:tcW w:type="dxa" w:w="2778"/>
          </w:tcPr>
          <w:p>
            <w:pPr>
              <w:spacing w:after="20"/>
            </w:pPr>
            <w:r>
              <w:rPr>
                <w:b w:val="0"/>
                <w:sz w:val="16"/>
              </w:rPr>
              <w:t>Scam scripts, calculators, summaries as an API</w:t>
            </w:r>
          </w:p>
        </w:tc>
        <w:tc>
          <w:tcPr>
            <w:tcW w:type="dxa" w:w="2211"/>
          </w:tcPr>
          <w:p>
            <w:pPr>
              <w:spacing w:after="20"/>
            </w:pPr>
            <w:r>
              <w:rPr>
                <w:b w:val="0"/>
                <w:sz w:val="16"/>
              </w:rPr>
              <w:t>Build faster, stay compliant</w:t>
            </w:r>
          </w:p>
        </w:tc>
      </w:tr>
    </w:tbl>
    <w:p>
      <w:pPr>
        <w:spacing w:after="40"/>
      </w:pPr>
    </w:p>
    <w:p>
      <w:pPr>
        <w:keepNext/>
        <w:spacing w:after="40"/>
        <w:jc w:val="center"/>
      </w:pPr>
      <w:r>
        <w:drawing>
          <wp:inline xmlns:a="http://schemas.openxmlformats.org/drawingml/2006/main" xmlns:pic="http://schemas.openxmlformats.org/drawingml/2006/picture">
            <wp:extent cx="4860000" cy="2432156"/>
            <wp:docPr id="21" name="Picture 21"/>
            <wp:cNvGraphicFramePr>
              <a:graphicFrameLocks noChangeAspect="1"/>
            </wp:cNvGraphicFramePr>
            <a:graphic>
              <a:graphicData uri="http://schemas.openxmlformats.org/drawingml/2006/picture">
                <pic:pic>
                  <pic:nvPicPr>
                    <pic:cNvPr id="0" name="partners.png"/>
                    <pic:cNvPicPr/>
                  </pic:nvPicPr>
                  <pic:blipFill>
                    <a:blip r:embed="rId29"/>
                    <a:stretch>
                      <a:fillRect/>
                    </a:stretch>
                  </pic:blipFill>
                  <pic:spPr>
                    <a:xfrm>
                      <a:off x="0" y="0"/>
                      <a:ext cx="4860000" cy="2432156"/>
                    </a:xfrm>
                    <a:prstGeom prst="rect"/>
                  </pic:spPr>
                </pic:pic>
              </a:graphicData>
            </a:graphic>
          </wp:inline>
        </w:drawing>
      </w:r>
    </w:p>
    <w:p>
      <w:pPr>
        <w:spacing w:after="160"/>
        <w:jc w:val="center"/>
      </w:pPr>
      <w:r>
        <w:rPr>
          <w:b w:val="0"/>
          <w:i/>
          <w:color w:val="6B675C"/>
          <w:sz w:val="17"/>
        </w:rPr>
        <w:t>Figure 21. Partner ecosystem: who delivers, who funds, who regulates the advice.</w:t>
      </w:r>
    </w:p>
    <w:p>
      <w:pPr>
        <w:keepNext/>
        <w:spacing w:after="40"/>
        <w:jc w:val="center"/>
      </w:pPr>
      <w:r>
        <w:drawing>
          <wp:inline xmlns:a="http://schemas.openxmlformats.org/drawingml/2006/main" xmlns:pic="http://schemas.openxmlformats.org/drawingml/2006/picture">
            <wp:extent cx="4860000" cy="2661428"/>
            <wp:docPr id="22" name="Picture 22"/>
            <wp:cNvGraphicFramePr>
              <a:graphicFrameLocks noChangeAspect="1"/>
            </wp:cNvGraphicFramePr>
            <a:graphic>
              <a:graphicData uri="http://schemas.openxmlformats.org/drawingml/2006/picture">
                <pic:pic>
                  <pic:nvPicPr>
                    <pic:cNvPr id="0" name="economics.png"/>
                    <pic:cNvPicPr/>
                  </pic:nvPicPr>
                  <pic:blipFill>
                    <a:blip r:embed="rId30"/>
                    <a:stretch>
                      <a:fillRect/>
                    </a:stretch>
                  </pic:blipFill>
                  <pic:spPr>
                    <a:xfrm>
                      <a:off x="0" y="0"/>
                      <a:ext cx="4860000" cy="2661428"/>
                    </a:xfrm>
                    <a:prstGeom prst="rect"/>
                  </pic:spPr>
                </pic:pic>
              </a:graphicData>
            </a:graphic>
          </wp:inline>
        </w:drawing>
      </w:r>
    </w:p>
    <w:p>
      <w:pPr>
        <w:spacing w:after="160"/>
        <w:jc w:val="center"/>
      </w:pPr>
      <w:r>
        <w:rPr>
          <w:b w:val="0"/>
          <w:i/>
          <w:color w:val="6B675C"/>
          <w:sz w:val="17"/>
        </w:rPr>
        <w:t>Figure 22. Illustrative economics. Assumptions, not forecasts: the mass segment is funded by partners, the premium segment by users.</w:t>
      </w:r>
    </w:p>
    <w:p>
      <w:pPr>
        <w:pStyle w:val="Heading2"/>
      </w:pPr>
      <w:r>
        <w:t>Go-to-market</w:t>
      </w:r>
    </w:p>
    <w:tbl>
      <w:tblPr>
        <w:tblW w:type="auto" w:w="0"/>
        <w:jc w:val="center"/>
        <w:tblLayout w:type="fixed"/>
        <w:tblLook w:firstColumn="1" w:firstRow="1" w:lastColumn="0" w:lastRow="0" w:noHBand="0" w:noVBand="1" w:val="04A0"/>
        <w:tblBorders>
          <w:top w:val="single" w:sz="4" w:color="D8D0BC"/>
          <w:left w:val="single" w:sz="4" w:color="D8D0BC"/>
          <w:bottom w:val="single" w:sz="4" w:color="D8D0BC"/>
          <w:right w:val="single" w:sz="4" w:color="D8D0BC"/>
          <w:insideH w:val="single" w:sz="4" w:color="D8D0BC"/>
          <w:insideV w:val="single" w:sz="4" w:color="D8D0BC"/>
        </w:tblBorders>
      </w:tblPr>
      <w:tblGrid>
        <w:gridCol w:w="3175"/>
        <w:gridCol w:w="3175"/>
        <w:gridCol w:w="3175"/>
      </w:tblGrid>
      <w:tr>
        <w:tc>
          <w:tcPr>
            <w:tcW w:type="dxa" w:w="2041"/>
            <w:shd w:val="clear" w:color="auto" w:fill="2A2C31"/>
          </w:tcPr>
          <w:p>
            <w:pPr>
              <w:spacing w:after="20"/>
            </w:pPr>
            <w:r>
              <w:rPr>
                <w:b/>
                <w:color w:val="FFFFFF"/>
                <w:sz w:val="17"/>
              </w:rPr>
              <w:t>Phase</w:t>
            </w:r>
          </w:p>
        </w:tc>
        <w:tc>
          <w:tcPr>
            <w:tcW w:type="dxa" w:w="4082"/>
            <w:shd w:val="clear" w:color="auto" w:fill="2A2C31"/>
          </w:tcPr>
          <w:p>
            <w:pPr>
              <w:spacing w:after="20"/>
            </w:pPr>
            <w:r>
              <w:rPr>
                <w:b/>
                <w:color w:val="FFFFFF"/>
                <w:sz w:val="17"/>
              </w:rPr>
              <w:t>Action</w:t>
            </w:r>
          </w:p>
        </w:tc>
        <w:tc>
          <w:tcPr>
            <w:tcW w:type="dxa" w:w="3288"/>
            <w:shd w:val="clear" w:color="auto" w:fill="2A2C31"/>
          </w:tcPr>
          <w:p>
            <w:pPr>
              <w:spacing w:after="20"/>
            </w:pPr>
            <w:r>
              <w:rPr>
                <w:b/>
                <w:color w:val="FFFFFF"/>
                <w:sz w:val="17"/>
              </w:rPr>
              <w:t>Proof we need</w:t>
            </w:r>
          </w:p>
        </w:tc>
      </w:tr>
      <w:tr>
        <w:tc>
          <w:tcPr>
            <w:tcW w:type="dxa" w:w="2041"/>
          </w:tcPr>
          <w:p>
            <w:pPr>
              <w:spacing w:after="20"/>
            </w:pPr>
            <w:r>
              <w:rPr>
                <w:b w:val="0"/>
                <w:sz w:val="17"/>
              </w:rPr>
              <w:t>1. Pilot (0-6 months)</w:t>
            </w:r>
          </w:p>
        </w:tc>
        <w:tc>
          <w:tcPr>
            <w:tcW w:type="dxa" w:w="4082"/>
          </w:tcPr>
          <w:p>
            <w:pPr>
              <w:spacing w:after="20"/>
            </w:pPr>
            <w:r>
              <w:rPr>
                <w:b w:val="0"/>
                <w:sz w:val="17"/>
              </w:rPr>
              <w:t>Two or three partners: an SHG federation, a co-operative bank, an NGO; a real WhatsApp number; 2,000 users</w:t>
            </w:r>
          </w:p>
        </w:tc>
        <w:tc>
          <w:tcPr>
            <w:tcW w:type="dxa" w:w="3288"/>
          </w:tcPr>
          <w:p>
            <w:pPr>
              <w:spacing w:after="20"/>
            </w:pPr>
            <w:r>
              <w:rPr>
                <w:b w:val="0"/>
                <w:sz w:val="17"/>
              </w:rPr>
              <w:t>Weekly active use, scams avoided, benefits found, comprehension in user tests</w:t>
            </w:r>
          </w:p>
        </w:tc>
      </w:tr>
      <w:tr>
        <w:tc>
          <w:tcPr>
            <w:tcW w:type="dxa" w:w="2041"/>
            <w:shd w:val="clear" w:color="auto" w:fill="FAF6EA"/>
          </w:tcPr>
          <w:p>
            <w:pPr>
              <w:spacing w:after="20"/>
            </w:pPr>
            <w:r>
              <w:rPr>
                <w:b w:val="0"/>
                <w:sz w:val="17"/>
              </w:rPr>
              <w:t>2. Expand (6-18 months)</w:t>
            </w:r>
          </w:p>
        </w:tc>
        <w:tc>
          <w:tcPr>
            <w:tcW w:type="dxa" w:w="4082"/>
            <w:shd w:val="clear" w:color="auto" w:fill="FAF6EA"/>
          </w:tcPr>
          <w:p>
            <w:pPr>
              <w:spacing w:after="20"/>
            </w:pPr>
            <w:r>
              <w:rPr>
                <w:b w:val="0"/>
                <w:sz w:val="17"/>
              </w:rPr>
              <w:t>More states and languages; voice-first and IVR; bank and CSC channels</w:t>
            </w:r>
          </w:p>
        </w:tc>
        <w:tc>
          <w:tcPr>
            <w:tcW w:type="dxa" w:w="3288"/>
            <w:shd w:val="clear" w:color="auto" w:fill="FAF6EA"/>
          </w:tcPr>
          <w:p>
            <w:pPr>
              <w:spacing w:after="20"/>
            </w:pPr>
            <w:r>
              <w:rPr>
                <w:b w:val="0"/>
                <w:sz w:val="17"/>
              </w:rPr>
              <w:t>Cost per active user, partner renewals, fraud-loss reduction</w:t>
            </w:r>
          </w:p>
        </w:tc>
      </w:tr>
      <w:tr>
        <w:tc>
          <w:tcPr>
            <w:tcW w:type="dxa" w:w="2041"/>
          </w:tcPr>
          <w:p>
            <w:pPr>
              <w:spacing w:after="20"/>
            </w:pPr>
            <w:r>
              <w:rPr>
                <w:b w:val="0"/>
                <w:sz w:val="17"/>
              </w:rPr>
              <w:t>3. Platform (18-36 months)</w:t>
            </w:r>
          </w:p>
        </w:tc>
        <w:tc>
          <w:tcPr>
            <w:tcW w:type="dxa" w:w="4082"/>
          </w:tcPr>
          <w:p>
            <w:pPr>
              <w:spacing w:after="20"/>
            </w:pPr>
            <w:r>
              <w:rPr>
                <w:b w:val="0"/>
                <w:sz w:val="17"/>
              </w:rPr>
              <w:t>API, white-label, regional models, impact dashboard for funders</w:t>
            </w:r>
          </w:p>
        </w:tc>
        <w:tc>
          <w:tcPr>
            <w:tcW w:type="dxa" w:w="3288"/>
          </w:tcPr>
          <w:p>
            <w:pPr>
              <w:spacing w:after="20"/>
            </w:pPr>
            <w:r>
              <w:rPr>
                <w:b w:val="0"/>
                <w:sz w:val="17"/>
              </w:rPr>
              <w:t>Revenue per partner, retention, third-party integrations</w:t>
            </w:r>
          </w:p>
        </w:tc>
      </w:tr>
    </w:tbl>
    <w:p>
      <w:pPr>
        <w:spacing w:after="40"/>
      </w:pPr>
    </w:p>
    <w:p>
      <w:pPr>
        <w:pStyle w:val="Heading2"/>
      </w:pPr>
      <w:r>
        <w:t>An illustrative impact model</w:t>
      </w:r>
    </w:p>
    <w:tbl>
      <w:tblPr>
        <w:tblW w:type="auto" w:w="0"/>
        <w:jc w:val="center"/>
        <w:tblLayout w:type="fixed"/>
        <w:tblLook w:firstColumn="1" w:firstRow="1" w:lastColumn="0" w:lastRow="0" w:noHBand="0" w:noVBand="1" w:val="04A0"/>
        <w:tblBorders>
          <w:top w:val="single" w:sz="4" w:color="D8D0BC"/>
          <w:left w:val="single" w:sz="4" w:color="D8D0BC"/>
          <w:bottom w:val="single" w:sz="4" w:color="D8D0BC"/>
          <w:right w:val="single" w:sz="4" w:color="D8D0BC"/>
          <w:insideH w:val="single" w:sz="4" w:color="D8D0BC"/>
          <w:insideV w:val="single" w:sz="4" w:color="D8D0BC"/>
        </w:tblBorders>
      </w:tblPr>
      <w:tblGrid>
        <w:gridCol w:w="4762"/>
        <w:gridCol w:w="4762"/>
      </w:tblGrid>
      <w:tr>
        <w:tc>
          <w:tcPr>
            <w:tcW w:type="dxa" w:w="6236"/>
            <w:shd w:val="clear" w:color="auto" w:fill="2A2C31"/>
          </w:tcPr>
          <w:p>
            <w:pPr>
              <w:spacing w:after="20"/>
            </w:pPr>
            <w:r>
              <w:rPr>
                <w:b/>
                <w:color w:val="FFFFFF"/>
                <w:sz w:val="17"/>
              </w:rPr>
              <w:t>Per 10,000 active rural users in a year (assumptions)</w:t>
            </w:r>
          </w:p>
        </w:tc>
        <w:tc>
          <w:tcPr>
            <w:tcW w:type="dxa" w:w="3175"/>
            <w:shd w:val="clear" w:color="auto" w:fill="2A2C31"/>
          </w:tcPr>
          <w:p>
            <w:pPr>
              <w:spacing w:after="20"/>
            </w:pPr>
            <w:r>
              <w:rPr>
                <w:b/>
                <w:color w:val="FFFFFF"/>
                <w:sz w:val="17"/>
              </w:rPr>
              <w:t>Illustrative result</w:t>
            </w:r>
          </w:p>
        </w:tc>
      </w:tr>
      <w:tr>
        <w:tc>
          <w:tcPr>
            <w:tcW w:type="dxa" w:w="6236"/>
          </w:tcPr>
          <w:p>
            <w:pPr>
              <w:spacing w:after="20"/>
            </w:pPr>
            <w:r>
              <w:rPr>
                <w:b w:val="0"/>
                <w:sz w:val="17"/>
              </w:rPr>
              <w:t>Borrowers who learn the true yearly cost of a loan</w:t>
            </w:r>
          </w:p>
        </w:tc>
        <w:tc>
          <w:tcPr>
            <w:tcW w:type="dxa" w:w="3175"/>
          </w:tcPr>
          <w:p>
            <w:pPr>
              <w:spacing w:after="20"/>
            </w:pPr>
            <w:r>
              <w:rPr>
                <w:b w:val="0"/>
                <w:sz w:val="17"/>
              </w:rPr>
              <w:t>About 2,500</w:t>
            </w:r>
          </w:p>
        </w:tc>
      </w:tr>
      <w:tr>
        <w:tc>
          <w:tcPr>
            <w:tcW w:type="dxa" w:w="6236"/>
            <w:shd w:val="clear" w:color="auto" w:fill="FAF6EA"/>
          </w:tcPr>
          <w:p>
            <w:pPr>
              <w:spacing w:after="20"/>
            </w:pPr>
            <w:r>
              <w:rPr>
                <w:b w:val="0"/>
                <w:sz w:val="17"/>
              </w:rPr>
              <w:t>Households that find at least one scheme they qualified for</w:t>
            </w:r>
          </w:p>
        </w:tc>
        <w:tc>
          <w:tcPr>
            <w:tcW w:type="dxa" w:w="3175"/>
            <w:shd w:val="clear" w:color="auto" w:fill="FAF6EA"/>
          </w:tcPr>
          <w:p>
            <w:pPr>
              <w:spacing w:after="20"/>
            </w:pPr>
            <w:r>
              <w:rPr>
                <w:b w:val="0"/>
                <w:sz w:val="17"/>
              </w:rPr>
              <w:t>About 1,500</w:t>
            </w:r>
          </w:p>
        </w:tc>
      </w:tr>
      <w:tr>
        <w:tc>
          <w:tcPr>
            <w:tcW w:type="dxa" w:w="6236"/>
          </w:tcPr>
          <w:p>
            <w:pPr>
              <w:spacing w:after="20"/>
            </w:pPr>
            <w:r>
              <w:rPr>
                <w:b w:val="0"/>
                <w:sz w:val="17"/>
              </w:rPr>
              <w:t>Scam attempts recognised and refused</w:t>
            </w:r>
          </w:p>
        </w:tc>
        <w:tc>
          <w:tcPr>
            <w:tcW w:type="dxa" w:w="3175"/>
          </w:tcPr>
          <w:p>
            <w:pPr>
              <w:spacing w:after="20"/>
            </w:pPr>
            <w:r>
              <w:rPr>
                <w:b w:val="0"/>
                <w:sz w:val="17"/>
              </w:rPr>
              <w:t>About 4,000</w:t>
            </w:r>
          </w:p>
        </w:tc>
      </w:tr>
      <w:tr>
        <w:tc>
          <w:tcPr>
            <w:tcW w:type="dxa" w:w="6236"/>
            <w:shd w:val="clear" w:color="auto" w:fill="FAF6EA"/>
          </w:tcPr>
          <w:p>
            <w:pPr>
              <w:spacing w:after="20"/>
            </w:pPr>
            <w:r>
              <w:rPr>
                <w:b w:val="0"/>
                <w:sz w:val="17"/>
              </w:rPr>
              <w:t>Households that complete a savings plan with the daily-saving tool</w:t>
            </w:r>
          </w:p>
        </w:tc>
        <w:tc>
          <w:tcPr>
            <w:tcW w:type="dxa" w:w="3175"/>
            <w:shd w:val="clear" w:color="auto" w:fill="FAF6EA"/>
          </w:tcPr>
          <w:p>
            <w:pPr>
              <w:spacing w:after="20"/>
            </w:pPr>
            <w:r>
              <w:rPr>
                <w:b w:val="0"/>
                <w:sz w:val="17"/>
              </w:rPr>
              <w:t>About 1,000</w:t>
            </w:r>
          </w:p>
        </w:tc>
      </w:tr>
      <w:tr>
        <w:tc>
          <w:tcPr>
            <w:tcW w:type="dxa" w:w="6236"/>
          </w:tcPr>
          <w:p>
            <w:pPr>
              <w:spacing w:after="20"/>
            </w:pPr>
            <w:r>
              <w:rPr>
                <w:b w:val="0"/>
                <w:sz w:val="17"/>
              </w:rPr>
              <w:t>Typical annual cost to serve (messaging, support, content amortised)</w:t>
            </w:r>
          </w:p>
        </w:tc>
        <w:tc>
          <w:tcPr>
            <w:tcW w:type="dxa" w:w="3175"/>
          </w:tcPr>
          <w:p>
            <w:pPr>
              <w:spacing w:after="20"/>
            </w:pPr>
            <w:r>
              <w:rPr>
                <w:b w:val="0"/>
                <w:sz w:val="17"/>
              </w:rPr>
              <w:t>Low single-digit rupees per user per month</w:t>
            </w:r>
          </w:p>
        </w:tc>
      </w:tr>
    </w:tbl>
    <w:p>
      <w:pPr>
        <w:spacing w:after="40"/>
      </w:pPr>
    </w:p>
    <w:p>
      <w:r>
        <w:rPr>
          <w:b w:val="0"/>
          <w:i/>
          <w:color w:val="6B675C"/>
          <w:sz w:val="17"/>
        </w:rPr>
        <w:t>These are planning assumptions for pilot design, not results. The pilot exists to replace them with measured numbers.</w:t>
      </w:r>
    </w:p>
    <w:p>
      <w:pPr>
        <w:pStyle w:val="Heading2"/>
      </w:pPr>
      <w:r>
        <w:t>Costs and sustainability</w:t>
      </w:r>
    </w:p>
    <w:p>
      <w:pPr>
        <w:pStyle w:val="ListBullet"/>
        <w:spacing w:after="40"/>
      </w:pPr>
      <w:r>
        <w:rPr>
          <w:b/>
        </w:rPr>
        <w:t>Low marginal cost.</w:t>
      </w:r>
      <w:r>
        <w:rPr>
          <w:b w:val="0"/>
        </w:rPr>
        <w:t xml:space="preserve"> Local software and free data sources; the main variable cost is WhatsApp/SMS delivery, passed through to partners.</w:t>
      </w:r>
    </w:p>
    <w:p>
      <w:pPr>
        <w:pStyle w:val="ListBullet"/>
        <w:spacing w:after="40"/>
      </w:pPr>
      <w:r>
        <w:rPr>
          <w:b/>
        </w:rPr>
        <w:t>Content is the real cost.</w:t>
      </w:r>
      <w:r>
        <w:rPr>
          <w:b w:val="0"/>
        </w:rPr>
        <w:t xml:space="preserve"> Hand-written Hindi and regional text, kept accurate as rules change (tax, scheme rates). Budget for editors and a review process.</w:t>
      </w:r>
    </w:p>
    <w:p>
      <w:pPr>
        <w:pStyle w:val="ListBullet"/>
        <w:spacing w:after="40"/>
      </w:pPr>
      <w:r>
        <w:rPr>
          <w:b/>
        </w:rPr>
        <w:t>Support and training</w:t>
      </w:r>
      <w:r>
        <w:rPr>
          <w:b w:val="0"/>
        </w:rPr>
        <w:t xml:space="preserve"> for partner staff, which is also a revenue line.</w:t>
      </w:r>
    </w:p>
    <w:p>
      <w:pPr>
        <w:pStyle w:val="Heading1"/>
        <w:pageBreakBefore/>
      </w:pPr>
      <w:r>
        <w:t>16. Risks, compliance and ethics</w:t>
      </w:r>
    </w:p>
    <w:tbl>
      <w:tblPr>
        <w:tblW w:type="auto" w:w="0"/>
        <w:jc w:val="center"/>
        <w:tblLayout w:type="fixed"/>
        <w:tblLook w:firstColumn="1" w:firstRow="1" w:lastColumn="0" w:lastRow="0" w:noHBand="0" w:noVBand="1" w:val="04A0"/>
        <w:tblBorders>
          <w:top w:val="single" w:sz="4" w:color="D8D0BC"/>
          <w:left w:val="single" w:sz="4" w:color="D8D0BC"/>
          <w:bottom w:val="single" w:sz="4" w:color="D8D0BC"/>
          <w:right w:val="single" w:sz="4" w:color="D8D0BC"/>
          <w:insideH w:val="single" w:sz="4" w:color="D8D0BC"/>
          <w:insideV w:val="single" w:sz="4" w:color="D8D0BC"/>
        </w:tblBorders>
      </w:tblPr>
      <w:tblGrid>
        <w:gridCol w:w="3175"/>
        <w:gridCol w:w="3175"/>
        <w:gridCol w:w="3175"/>
      </w:tblGrid>
      <w:tr>
        <w:tc>
          <w:tcPr>
            <w:tcW w:type="dxa" w:w="2154"/>
            <w:shd w:val="clear" w:color="auto" w:fill="2A2C31"/>
          </w:tcPr>
          <w:p>
            <w:pPr>
              <w:spacing w:after="20"/>
            </w:pPr>
            <w:r>
              <w:rPr>
                <w:b/>
                <w:color w:val="FFFFFF"/>
                <w:sz w:val="17"/>
              </w:rPr>
              <w:t>Risk</w:t>
            </w:r>
          </w:p>
        </w:tc>
        <w:tc>
          <w:tcPr>
            <w:tcW w:type="dxa" w:w="2835"/>
            <w:shd w:val="clear" w:color="auto" w:fill="2A2C31"/>
          </w:tcPr>
          <w:p>
            <w:pPr>
              <w:spacing w:after="20"/>
            </w:pPr>
            <w:r>
              <w:rPr>
                <w:b/>
                <w:color w:val="FFFFFF"/>
                <w:sz w:val="17"/>
              </w:rPr>
              <w:t>Why it matters</w:t>
            </w:r>
          </w:p>
        </w:tc>
        <w:tc>
          <w:tcPr>
            <w:tcW w:type="dxa" w:w="4422"/>
            <w:shd w:val="clear" w:color="auto" w:fill="2A2C31"/>
          </w:tcPr>
          <w:p>
            <w:pPr>
              <w:spacing w:after="20"/>
            </w:pPr>
            <w:r>
              <w:rPr>
                <w:b/>
                <w:color w:val="FFFFFF"/>
                <w:sz w:val="17"/>
              </w:rPr>
              <w:t>How we handle it</w:t>
            </w:r>
          </w:p>
        </w:tc>
      </w:tr>
      <w:tr>
        <w:tc>
          <w:tcPr>
            <w:tcW w:type="dxa" w:w="2154"/>
          </w:tcPr>
          <w:p>
            <w:pPr>
              <w:spacing w:after="20"/>
            </w:pPr>
            <w:r>
              <w:rPr>
                <w:b w:val="0"/>
                <w:sz w:val="17"/>
              </w:rPr>
              <w:t>Looking like regulated advice</w:t>
            </w:r>
          </w:p>
        </w:tc>
        <w:tc>
          <w:tcPr>
            <w:tcW w:type="dxa" w:w="2835"/>
          </w:tcPr>
          <w:p>
            <w:pPr>
              <w:spacing w:after="20"/>
            </w:pPr>
            <w:r>
              <w:rPr>
                <w:b w:val="0"/>
                <w:sz w:val="17"/>
              </w:rPr>
              <w:t>In India, paid investment advice needs SEBI registration</w:t>
            </w:r>
          </w:p>
        </w:tc>
        <w:tc>
          <w:tcPr>
            <w:tcW w:type="dxa" w:w="4422"/>
          </w:tcPr>
          <w:p>
            <w:pPr>
              <w:spacing w:after="20"/>
            </w:pPr>
            <w:r>
              <w:rPr>
                <w:b w:val="0"/>
                <w:sz w:val="17"/>
              </w:rPr>
              <w:t>Describe, never recommend; no buy/sell; clear disclaimers; confidence marks; partner with registered advisers for premium advice</w:t>
            </w:r>
          </w:p>
        </w:tc>
      </w:tr>
      <w:tr>
        <w:tc>
          <w:tcPr>
            <w:tcW w:type="dxa" w:w="2154"/>
            <w:shd w:val="clear" w:color="auto" w:fill="FAF6EA"/>
          </w:tcPr>
          <w:p>
            <w:pPr>
              <w:spacing w:after="20"/>
            </w:pPr>
            <w:r>
              <w:rPr>
                <w:b w:val="0"/>
                <w:sz w:val="17"/>
              </w:rPr>
              <w:t>Wrong or outdated rules (tax, scheme rates)</w:t>
            </w:r>
          </w:p>
        </w:tc>
        <w:tc>
          <w:tcPr>
            <w:tcW w:type="dxa" w:w="2835"/>
            <w:shd w:val="clear" w:color="auto" w:fill="FAF6EA"/>
          </w:tcPr>
          <w:p>
            <w:pPr>
              <w:spacing w:after="20"/>
            </w:pPr>
            <w:r>
              <w:rPr>
                <w:b w:val="0"/>
                <w:sz w:val="17"/>
              </w:rPr>
              <w:t>A wrong figure harms trust</w:t>
            </w:r>
          </w:p>
        </w:tc>
        <w:tc>
          <w:tcPr>
            <w:tcW w:type="dxa" w:w="4422"/>
            <w:shd w:val="clear" w:color="auto" w:fill="FAF6EA"/>
          </w:tcPr>
          <w:p>
            <w:pPr>
              <w:spacing w:after="20"/>
            </w:pPr>
            <w:r>
              <w:rPr>
                <w:b w:val="0"/>
                <w:sz w:val="17"/>
              </w:rPr>
              <w:t>Dated rules, 'as of' wording, tell the user to confirm, editorial review cycle</w:t>
            </w:r>
          </w:p>
        </w:tc>
      </w:tr>
      <w:tr>
        <w:tc>
          <w:tcPr>
            <w:tcW w:type="dxa" w:w="2154"/>
          </w:tcPr>
          <w:p>
            <w:pPr>
              <w:spacing w:after="20"/>
            </w:pPr>
            <w:r>
              <w:rPr>
                <w:b w:val="0"/>
                <w:sz w:val="17"/>
              </w:rPr>
              <w:t>Data privacy</w:t>
            </w:r>
          </w:p>
        </w:tc>
        <w:tc>
          <w:tcPr>
            <w:tcW w:type="dxa" w:w="2835"/>
          </w:tcPr>
          <w:p>
            <w:pPr>
              <w:spacing w:after="20"/>
            </w:pPr>
            <w:r>
              <w:rPr>
                <w:b w:val="0"/>
                <w:sz w:val="17"/>
              </w:rPr>
              <w:t>Personal finance data is sensitive; India's Digital Personal Data Protection Act 2023 applies</w:t>
            </w:r>
          </w:p>
        </w:tc>
        <w:tc>
          <w:tcPr>
            <w:tcW w:type="dxa" w:w="4422"/>
          </w:tcPr>
          <w:p>
            <w:pPr>
              <w:spacing w:after="20"/>
            </w:pPr>
            <w:r>
              <w:rPr>
                <w:b w:val="0"/>
                <w:sz w:val="17"/>
              </w:rPr>
              <w:t>Local-first processing, no raw data leaves the device by default, kiosk wipe, consent for any cloud channel</w:t>
            </w:r>
          </w:p>
        </w:tc>
      </w:tr>
      <w:tr>
        <w:tc>
          <w:tcPr>
            <w:tcW w:type="dxa" w:w="2154"/>
            <w:shd w:val="clear" w:color="auto" w:fill="FAF6EA"/>
          </w:tcPr>
          <w:p>
            <w:pPr>
              <w:spacing w:after="20"/>
            </w:pPr>
            <w:r>
              <w:rPr>
                <w:b w:val="0"/>
                <w:sz w:val="17"/>
              </w:rPr>
              <w:t>Scam-script misuse</w:t>
            </w:r>
          </w:p>
        </w:tc>
        <w:tc>
          <w:tcPr>
            <w:tcW w:type="dxa" w:w="2835"/>
            <w:shd w:val="clear" w:color="auto" w:fill="FAF6EA"/>
          </w:tcPr>
          <w:p>
            <w:pPr>
              <w:spacing w:after="20"/>
            </w:pPr>
            <w:r>
              <w:rPr>
                <w:b w:val="0"/>
                <w:sz w:val="17"/>
              </w:rPr>
              <w:t>A scam explanation could be read as a how-to</w:t>
            </w:r>
          </w:p>
        </w:tc>
        <w:tc>
          <w:tcPr>
            <w:tcW w:type="dxa" w:w="4422"/>
            <w:shd w:val="clear" w:color="auto" w:fill="FAF6EA"/>
          </w:tcPr>
          <w:p>
            <w:pPr>
              <w:spacing w:after="20"/>
            </w:pPr>
            <w:r>
              <w:rPr>
                <w:b w:val="0"/>
                <w:sz w:val="17"/>
              </w:rPr>
              <w:t>Frame from the victim's side, no operational detail, include protective steps</w:t>
            </w:r>
          </w:p>
        </w:tc>
      </w:tr>
      <w:tr>
        <w:tc>
          <w:tcPr>
            <w:tcW w:type="dxa" w:w="2154"/>
          </w:tcPr>
          <w:p>
            <w:pPr>
              <w:spacing w:after="20"/>
            </w:pPr>
            <w:r>
              <w:rPr>
                <w:b w:val="0"/>
                <w:sz w:val="17"/>
              </w:rPr>
              <w:t>Language errors</w:t>
            </w:r>
          </w:p>
        </w:tc>
        <w:tc>
          <w:tcPr>
            <w:tcW w:type="dxa" w:w="2835"/>
          </w:tcPr>
          <w:p>
            <w:pPr>
              <w:spacing w:after="20"/>
            </w:pPr>
            <w:r>
              <w:rPr>
                <w:b w:val="0"/>
                <w:sz w:val="17"/>
              </w:rPr>
              <w:t>A bad translation can mislead</w:t>
            </w:r>
          </w:p>
        </w:tc>
        <w:tc>
          <w:tcPr>
            <w:tcW w:type="dxa" w:w="4422"/>
          </w:tcPr>
          <w:p>
            <w:pPr>
              <w:spacing w:after="20"/>
            </w:pPr>
            <w:r>
              <w:rPr>
                <w:b w:val="0"/>
                <w:sz w:val="17"/>
              </w:rPr>
              <w:t>Hand-written bilingual text, native-speaker review before each new language</w:t>
            </w:r>
          </w:p>
        </w:tc>
      </w:tr>
      <w:tr>
        <w:tc>
          <w:tcPr>
            <w:tcW w:type="dxa" w:w="2154"/>
            <w:shd w:val="clear" w:color="auto" w:fill="FAF6EA"/>
          </w:tcPr>
          <w:p>
            <w:pPr>
              <w:spacing w:after="20"/>
            </w:pPr>
            <w:r>
              <w:rPr>
                <w:b w:val="0"/>
                <w:sz w:val="17"/>
              </w:rPr>
              <w:t>Over-reliance</w:t>
            </w:r>
          </w:p>
        </w:tc>
        <w:tc>
          <w:tcPr>
            <w:tcW w:type="dxa" w:w="2835"/>
            <w:shd w:val="clear" w:color="auto" w:fill="FAF6EA"/>
          </w:tcPr>
          <w:p>
            <w:pPr>
              <w:spacing w:after="20"/>
            </w:pPr>
            <w:r>
              <w:rPr>
                <w:b w:val="0"/>
                <w:sz w:val="17"/>
              </w:rPr>
              <w:t>People may treat the tool as a guarantee</w:t>
            </w:r>
          </w:p>
        </w:tc>
        <w:tc>
          <w:tcPr>
            <w:tcW w:type="dxa" w:w="4422"/>
            <w:shd w:val="clear" w:color="auto" w:fill="FAF6EA"/>
          </w:tcPr>
          <w:p>
            <w:pPr>
              <w:spacing w:after="20"/>
            </w:pPr>
            <w:r>
              <w:rPr>
                <w:b w:val="0"/>
                <w:sz w:val="17"/>
              </w:rPr>
              <w:t>Plain limits stated; decisions stay with the person</w:t>
            </w:r>
          </w:p>
        </w:tc>
      </w:tr>
      <w:tr>
        <w:tc>
          <w:tcPr>
            <w:tcW w:type="dxa" w:w="2154"/>
          </w:tcPr>
          <w:p>
            <w:pPr>
              <w:spacing w:after="20"/>
            </w:pPr>
            <w:r>
              <w:rPr>
                <w:b w:val="0"/>
                <w:sz w:val="17"/>
              </w:rPr>
              <w:t>Connectivity and device limits</w:t>
            </w:r>
          </w:p>
        </w:tc>
        <w:tc>
          <w:tcPr>
            <w:tcW w:type="dxa" w:w="2835"/>
          </w:tcPr>
          <w:p>
            <w:pPr>
              <w:spacing w:after="20"/>
            </w:pPr>
            <w:r>
              <w:rPr>
                <w:b w:val="0"/>
                <w:sz w:val="17"/>
              </w:rPr>
              <w:t>Rural networks are uneven</w:t>
            </w:r>
          </w:p>
        </w:tc>
        <w:tc>
          <w:tcPr>
            <w:tcW w:type="dxa" w:w="4422"/>
          </w:tcPr>
          <w:p>
            <w:pPr>
              <w:spacing w:after="20"/>
            </w:pPr>
            <w:r>
              <w:rPr>
                <w:b w:val="0"/>
                <w:sz w:val="17"/>
              </w:rPr>
              <w:t>Offline pack, SMS fallback, low-bandwidth design</w:t>
            </w:r>
          </w:p>
        </w:tc>
      </w:tr>
      <w:tr>
        <w:tc>
          <w:tcPr>
            <w:tcW w:type="dxa" w:w="2154"/>
            <w:shd w:val="clear" w:color="auto" w:fill="FAF6EA"/>
          </w:tcPr>
          <w:p>
            <w:pPr>
              <w:spacing w:after="20"/>
            </w:pPr>
            <w:r>
              <w:rPr>
                <w:b w:val="0"/>
                <w:sz w:val="17"/>
              </w:rPr>
              <w:t>Platform dependence</w:t>
            </w:r>
          </w:p>
        </w:tc>
        <w:tc>
          <w:tcPr>
            <w:tcW w:type="dxa" w:w="2835"/>
            <w:shd w:val="clear" w:color="auto" w:fill="FAF6EA"/>
          </w:tcPr>
          <w:p>
            <w:pPr>
              <w:spacing w:after="20"/>
            </w:pPr>
            <w:r>
              <w:rPr>
                <w:b w:val="0"/>
                <w:sz w:val="17"/>
              </w:rPr>
              <w:t>WhatsApp or provider policy changes</w:t>
            </w:r>
          </w:p>
        </w:tc>
        <w:tc>
          <w:tcPr>
            <w:tcW w:type="dxa" w:w="4422"/>
            <w:shd w:val="clear" w:color="auto" w:fill="FAF6EA"/>
          </w:tcPr>
          <w:p>
            <w:pPr>
              <w:spacing w:after="20"/>
            </w:pPr>
            <w:r>
              <w:rPr>
                <w:b w:val="0"/>
                <w:sz w:val="17"/>
              </w:rPr>
              <w:t>Channel-agnostic core; SMS and IVR alternatives</w:t>
            </w:r>
          </w:p>
        </w:tc>
      </w:tr>
    </w:tbl>
    <w:p>
      <w:pPr>
        <w:spacing w:after="40"/>
      </w:pPr>
    </w:p>
    <w:p>
      <w:pPr>
        <w:pStyle w:val="Heading2"/>
      </w:pPr>
      <w:r>
        <w:t>Ethical principles</w:t>
      </w:r>
    </w:p>
    <w:p>
      <w:pPr>
        <w:pStyle w:val="ListBullet"/>
        <w:spacing w:after="40"/>
      </w:pPr>
      <w:r>
        <w:rPr>
          <w:b w:val="0"/>
        </w:rPr>
        <w:t>Serve the person, not the product: nothing is sold through the tool.</w:t>
      </w:r>
    </w:p>
    <w:p>
      <w:pPr>
        <w:pStyle w:val="ListBullet"/>
        <w:spacing w:after="40"/>
      </w:pPr>
      <w:r>
        <w:rPr>
          <w:b w:val="0"/>
        </w:rPr>
        <w:t>Say what is not known. A gap is shown, not hidden.</w:t>
      </w:r>
    </w:p>
    <w:p>
      <w:pPr>
        <w:pStyle w:val="ListBullet"/>
        <w:spacing w:after="40"/>
      </w:pPr>
      <w:r>
        <w:rPr>
          <w:b w:val="0"/>
        </w:rPr>
        <w:t>Never shame a victim: 'none of this is your fault' is part of every recovery answer.</w:t>
      </w:r>
    </w:p>
    <w:p>
      <w:pPr>
        <w:pStyle w:val="ListBullet"/>
        <w:spacing w:after="40"/>
      </w:pPr>
      <w:r>
        <w:rPr>
          <w:b w:val="0"/>
        </w:rPr>
        <w:t>Keep a record a person can inspect.</w:t>
      </w:r>
    </w:p>
    <w:p>
      <w:pPr>
        <w:pStyle w:val="Heading1"/>
        <w:pageBreakBefore/>
      </w:pPr>
      <w:r>
        <w:t>17. Roadmap, measures of success and what we added</w:t>
      </w:r>
    </w:p>
    <w:p>
      <w:pPr>
        <w:keepNext/>
        <w:spacing w:after="40"/>
        <w:jc w:val="center"/>
      </w:pPr>
      <w:r>
        <w:drawing>
          <wp:inline xmlns:a="http://schemas.openxmlformats.org/drawingml/2006/main" xmlns:pic="http://schemas.openxmlformats.org/drawingml/2006/picture">
            <wp:extent cx="5832000" cy="2655420"/>
            <wp:docPr id="23" name="Picture 23"/>
            <wp:cNvGraphicFramePr>
              <a:graphicFrameLocks noChangeAspect="1"/>
            </wp:cNvGraphicFramePr>
            <a:graphic>
              <a:graphicData uri="http://schemas.openxmlformats.org/drawingml/2006/picture">
                <pic:pic>
                  <pic:nvPicPr>
                    <pic:cNvPr id="0" name="roadmap.png"/>
                    <pic:cNvPicPr/>
                  </pic:nvPicPr>
                  <pic:blipFill>
                    <a:blip r:embed="rId31"/>
                    <a:stretch>
                      <a:fillRect/>
                    </a:stretch>
                  </pic:blipFill>
                  <pic:spPr>
                    <a:xfrm>
                      <a:off x="0" y="0"/>
                      <a:ext cx="5832000" cy="2655420"/>
                    </a:xfrm>
                    <a:prstGeom prst="rect"/>
                  </pic:spPr>
                </pic:pic>
              </a:graphicData>
            </a:graphic>
          </wp:inline>
        </w:drawing>
      </w:r>
    </w:p>
    <w:p>
      <w:pPr>
        <w:spacing w:after="160"/>
        <w:jc w:val="center"/>
      </w:pPr>
      <w:r>
        <w:rPr>
          <w:b w:val="0"/>
          <w:i/>
          <w:color w:val="6B675C"/>
          <w:sz w:val="17"/>
        </w:rPr>
        <w:t>Figure 23. Roadmap from prototype to platform.</w:t>
      </w:r>
    </w:p>
    <w:p>
      <w:pPr>
        <w:pStyle w:val="Heading2"/>
      </w:pPr>
      <w:r>
        <w:t>Measures of success</w:t>
      </w:r>
    </w:p>
    <w:tbl>
      <w:tblPr>
        <w:tblW w:type="auto" w:w="0"/>
        <w:jc w:val="center"/>
        <w:tblLayout w:type="fixed"/>
        <w:tblLook w:firstColumn="1" w:firstRow="1" w:lastColumn="0" w:lastRow="0" w:noHBand="0" w:noVBand="1" w:val="04A0"/>
        <w:tblBorders>
          <w:top w:val="single" w:sz="4" w:color="D8D0BC"/>
          <w:left w:val="single" w:sz="4" w:color="D8D0BC"/>
          <w:bottom w:val="single" w:sz="4" w:color="D8D0BC"/>
          <w:right w:val="single" w:sz="4" w:color="D8D0BC"/>
          <w:insideH w:val="single" w:sz="4" w:color="D8D0BC"/>
          <w:insideV w:val="single" w:sz="4" w:color="D8D0BC"/>
        </w:tblBorders>
      </w:tblPr>
      <w:tblGrid>
        <w:gridCol w:w="3175"/>
        <w:gridCol w:w="3175"/>
        <w:gridCol w:w="3175"/>
      </w:tblGrid>
      <w:tr>
        <w:tc>
          <w:tcPr>
            <w:tcW w:type="dxa" w:w="1928"/>
            <w:shd w:val="clear" w:color="auto" w:fill="2A2C31"/>
          </w:tcPr>
          <w:p>
            <w:pPr>
              <w:spacing w:after="20"/>
            </w:pPr>
            <w:r>
              <w:rPr>
                <w:b/>
                <w:color w:val="FFFFFF"/>
                <w:sz w:val="17"/>
              </w:rPr>
              <w:t>Group</w:t>
            </w:r>
          </w:p>
        </w:tc>
        <w:tc>
          <w:tcPr>
            <w:tcW w:type="dxa" w:w="4876"/>
            <w:shd w:val="clear" w:color="auto" w:fill="2A2C31"/>
          </w:tcPr>
          <w:p>
            <w:pPr>
              <w:spacing w:after="20"/>
            </w:pPr>
            <w:r>
              <w:rPr>
                <w:b/>
                <w:color w:val="FFFFFF"/>
                <w:sz w:val="17"/>
              </w:rPr>
              <w:t>Measure</w:t>
            </w:r>
          </w:p>
        </w:tc>
        <w:tc>
          <w:tcPr>
            <w:tcW w:type="dxa" w:w="2608"/>
            <w:shd w:val="clear" w:color="auto" w:fill="2A2C31"/>
          </w:tcPr>
          <w:p>
            <w:pPr>
              <w:spacing w:after="20"/>
            </w:pPr>
            <w:r>
              <w:rPr>
                <w:b/>
                <w:color w:val="FFFFFF"/>
                <w:sz w:val="17"/>
              </w:rPr>
              <w:t>Why it matters</w:t>
            </w:r>
          </w:p>
        </w:tc>
      </w:tr>
      <w:tr>
        <w:tc>
          <w:tcPr>
            <w:tcW w:type="dxa" w:w="1928"/>
          </w:tcPr>
          <w:p>
            <w:pPr>
              <w:spacing w:after="20"/>
            </w:pPr>
            <w:r>
              <w:rPr>
                <w:b w:val="0"/>
                <w:sz w:val="17"/>
              </w:rPr>
              <w:t>75% underprivileged</w:t>
            </w:r>
          </w:p>
        </w:tc>
        <w:tc>
          <w:tcPr>
            <w:tcW w:type="dxa" w:w="4876"/>
          </w:tcPr>
          <w:p>
            <w:pPr>
              <w:spacing w:after="20"/>
            </w:pPr>
            <w:r>
              <w:rPr>
                <w:b w:val="0"/>
                <w:sz w:val="17"/>
              </w:rPr>
              <w:t>Scams avoided or reported within the first hour; borrowers who learn their true yearly rate; benefits claimed; weekly use over WhatsApp</w:t>
            </w:r>
          </w:p>
        </w:tc>
        <w:tc>
          <w:tcPr>
            <w:tcW w:type="dxa" w:w="2608"/>
          </w:tcPr>
          <w:p>
            <w:pPr>
              <w:spacing w:after="20"/>
            </w:pPr>
            <w:r>
              <w:rPr>
                <w:b w:val="0"/>
                <w:sz w:val="17"/>
              </w:rPr>
              <w:t>Direct financial outcomes</w:t>
            </w:r>
          </w:p>
        </w:tc>
      </w:tr>
      <w:tr>
        <w:tc>
          <w:tcPr>
            <w:tcW w:type="dxa" w:w="1928"/>
            <w:shd w:val="clear" w:color="auto" w:fill="FAF6EA"/>
          </w:tcPr>
          <w:p>
            <w:pPr>
              <w:spacing w:after="20"/>
            </w:pPr>
            <w:r>
              <w:rPr>
                <w:b w:val="0"/>
                <w:sz w:val="17"/>
              </w:rPr>
              <w:t>20% retail</w:t>
            </w:r>
          </w:p>
        </w:tc>
        <w:tc>
          <w:tcPr>
            <w:tcW w:type="dxa" w:w="4876"/>
            <w:shd w:val="clear" w:color="auto" w:fill="FAF6EA"/>
          </w:tcPr>
          <w:p>
            <w:pPr>
              <w:spacing w:after="20"/>
            </w:pPr>
            <w:r>
              <w:rPr>
                <w:b w:val="0"/>
                <w:sz w:val="17"/>
              </w:rPr>
              <w:t>Fees saved after fee-drag use; funds de-duplicated; share of questions answered without clarification</w:t>
            </w:r>
          </w:p>
        </w:tc>
        <w:tc>
          <w:tcPr>
            <w:tcW w:type="dxa" w:w="2608"/>
            <w:shd w:val="clear" w:color="auto" w:fill="FAF6EA"/>
          </w:tcPr>
          <w:p>
            <w:pPr>
              <w:spacing w:after="20"/>
            </w:pPr>
            <w:r>
              <w:rPr>
                <w:b w:val="0"/>
                <w:sz w:val="17"/>
              </w:rPr>
              <w:t>Behaviour change and answer quality</w:t>
            </w:r>
          </w:p>
        </w:tc>
      </w:tr>
      <w:tr>
        <w:tc>
          <w:tcPr>
            <w:tcW w:type="dxa" w:w="1928"/>
          </w:tcPr>
          <w:p>
            <w:pPr>
              <w:spacing w:after="20"/>
            </w:pPr>
            <w:r>
              <w:rPr>
                <w:b w:val="0"/>
                <w:sz w:val="17"/>
              </w:rPr>
              <w:t>5% affluent</w:t>
            </w:r>
          </w:p>
        </w:tc>
        <w:tc>
          <w:tcPr>
            <w:tcW w:type="dxa" w:w="4876"/>
          </w:tcPr>
          <w:p>
            <w:pPr>
              <w:spacing w:after="20"/>
            </w:pPr>
            <w:r>
              <w:rPr>
                <w:b w:val="0"/>
                <w:sz w:val="17"/>
              </w:rPr>
              <w:t>Breaches blocked; audit entries verified; adviser adoption</w:t>
            </w:r>
          </w:p>
        </w:tc>
        <w:tc>
          <w:tcPr>
            <w:tcW w:type="dxa" w:w="2608"/>
          </w:tcPr>
          <w:p>
            <w:pPr>
              <w:spacing w:after="20"/>
            </w:pPr>
            <w:r>
              <w:rPr>
                <w:b w:val="0"/>
                <w:sz w:val="17"/>
              </w:rPr>
              <w:t>Trust and retention</w:t>
            </w:r>
          </w:p>
        </w:tc>
      </w:tr>
      <w:tr>
        <w:tc>
          <w:tcPr>
            <w:tcW w:type="dxa" w:w="1928"/>
            <w:shd w:val="clear" w:color="auto" w:fill="FAF6EA"/>
          </w:tcPr>
          <w:p>
            <w:pPr>
              <w:spacing w:after="20"/>
            </w:pPr>
            <w:r>
              <w:rPr>
                <w:b w:val="0"/>
                <w:sz w:val="17"/>
              </w:rPr>
              <w:t>Platform</w:t>
            </w:r>
          </w:p>
        </w:tc>
        <w:tc>
          <w:tcPr>
            <w:tcW w:type="dxa" w:w="4876"/>
            <w:shd w:val="clear" w:color="auto" w:fill="FAF6EA"/>
          </w:tcPr>
          <w:p>
            <w:pPr>
              <w:spacing w:after="20"/>
            </w:pPr>
            <w:r>
              <w:rPr>
                <w:b w:val="0"/>
                <w:sz w:val="17"/>
              </w:rPr>
              <w:t>Cost per active user; answer coverage by language; partner renewals</w:t>
            </w:r>
          </w:p>
        </w:tc>
        <w:tc>
          <w:tcPr>
            <w:tcW w:type="dxa" w:w="2608"/>
            <w:shd w:val="clear" w:color="auto" w:fill="FAF6EA"/>
          </w:tcPr>
          <w:p>
            <w:pPr>
              <w:spacing w:after="20"/>
            </w:pPr>
            <w:r>
              <w:rPr>
                <w:b w:val="0"/>
                <w:sz w:val="17"/>
              </w:rPr>
              <w:t>Sustainability</w:t>
            </w:r>
          </w:p>
        </w:tc>
      </w:tr>
    </w:tbl>
    <w:p>
      <w:pPr>
        <w:spacing w:after="40"/>
      </w:pPr>
    </w:p>
    <w:p>
      <w:pPr>
        <w:pStyle w:val="Heading2"/>
      </w:pPr>
      <w:r>
        <w:t>What we added beyond the original brief</w:t>
      </w:r>
    </w:p>
    <w:p>
      <w:r>
        <w:rPr>
          <w:b w:val="0"/>
        </w:rPr>
        <w:t>Reviewing the idea end to end, several things a funder or partner will ask for were missing, and are now part of the plan:</w:t>
      </w:r>
    </w:p>
    <w:p>
      <w:pPr>
        <w:pStyle w:val="ListBullet"/>
        <w:spacing w:after="40"/>
      </w:pPr>
      <w:r>
        <w:rPr>
          <w:b/>
        </w:rPr>
        <w:t>A regulatory position</w:t>
      </w:r>
      <w:r>
        <w:rPr>
          <w:b w:val="0"/>
        </w:rPr>
        <w:t xml:space="preserve"> (describe, never advise) and a path to SEBI-registered partners for advice.</w:t>
      </w:r>
    </w:p>
    <w:p>
      <w:pPr>
        <w:pStyle w:val="ListBullet"/>
        <w:spacing w:after="40"/>
      </w:pPr>
      <w:r>
        <w:rPr>
          <w:b/>
        </w:rPr>
        <w:t>An impact measurement framework</w:t>
      </w:r>
      <w:r>
        <w:rPr>
          <w:b w:val="0"/>
        </w:rPr>
        <w:t>, so CSR funders and missions can see outcomes.</w:t>
      </w:r>
    </w:p>
    <w:p>
      <w:pPr>
        <w:pStyle w:val="ListBullet"/>
        <w:spacing w:after="40"/>
      </w:pPr>
      <w:r>
        <w:rPr>
          <w:b/>
        </w:rPr>
        <w:t>A content operation</w:t>
      </w:r>
      <w:r>
        <w:rPr>
          <w:b w:val="0"/>
        </w:rPr>
        <w:t>: editors, review cycles and native-speaker checks for each language.</w:t>
      </w:r>
    </w:p>
    <w:p>
      <w:pPr>
        <w:pStyle w:val="ListBullet"/>
        <w:spacing w:after="40"/>
      </w:pPr>
      <w:r>
        <w:rPr>
          <w:b/>
        </w:rPr>
        <w:t>A channel strategy beyond WhatsApp</w:t>
      </w:r>
      <w:r>
        <w:rPr>
          <w:b w:val="0"/>
        </w:rPr>
        <w:t>: SMS now, USSD and IVR for feature phones, and a Common Service Centre model.</w:t>
      </w:r>
    </w:p>
    <w:p>
      <w:pPr>
        <w:pStyle w:val="ListBullet"/>
        <w:spacing w:after="40"/>
      </w:pPr>
      <w:r>
        <w:rPr>
          <w:b/>
        </w:rPr>
        <w:t>A user-research plan</w:t>
      </w:r>
      <w:r>
        <w:rPr>
          <w:b w:val="0"/>
        </w:rPr>
        <w:t xml:space="preserve"> with real beneficiaries before scale: comprehension, trust, voice accuracy by accent.</w:t>
      </w:r>
    </w:p>
    <w:p>
      <w:pPr>
        <w:pStyle w:val="ListBullet"/>
        <w:spacing w:after="40"/>
      </w:pPr>
      <w:r>
        <w:rPr>
          <w:b/>
        </w:rPr>
        <w:t>A security and privacy plan</w:t>
      </w:r>
      <w:r>
        <w:rPr>
          <w:b w:val="0"/>
        </w:rPr>
        <w:t xml:space="preserve"> aligned to the Digital Personal Data Protection Act 2023.</w:t>
      </w:r>
    </w:p>
    <w:p>
      <w:pPr>
        <w:pStyle w:val="ListBullet"/>
        <w:spacing w:after="40"/>
      </w:pPr>
      <w:r>
        <w:rPr>
          <w:b/>
        </w:rPr>
        <w:t>An honest limits section</w:t>
      </w:r>
      <w:r>
        <w:rPr>
          <w:b w:val="0"/>
        </w:rPr>
        <w:t xml:space="preserve"> (paper trading, sample fund data, snapshot age) so claims stay credible.</w:t>
      </w:r>
    </w:p>
    <w:p>
      <w:pPr>
        <w:pStyle w:val="Heading1"/>
      </w:pPr>
      <w:r>
        <w:t>Appendix A. Demo script (six minutes)</w:t>
      </w:r>
    </w:p>
    <w:tbl>
      <w:tblPr>
        <w:tblW w:type="auto" w:w="0"/>
        <w:jc w:val="center"/>
        <w:tblLayout w:type="fixed"/>
        <w:tblLook w:firstColumn="1" w:firstRow="1" w:lastColumn="0" w:lastRow="0" w:noHBand="0" w:noVBand="1" w:val="04A0"/>
        <w:tblBorders>
          <w:top w:val="single" w:sz="4" w:color="D8D0BC"/>
          <w:left w:val="single" w:sz="4" w:color="D8D0BC"/>
          <w:bottom w:val="single" w:sz="4" w:color="D8D0BC"/>
          <w:right w:val="single" w:sz="4" w:color="D8D0BC"/>
          <w:insideH w:val="single" w:sz="4" w:color="D8D0BC"/>
          <w:insideV w:val="single" w:sz="4" w:color="D8D0BC"/>
        </w:tblBorders>
      </w:tblPr>
      <w:tblGrid>
        <w:gridCol w:w="3175"/>
        <w:gridCol w:w="3175"/>
        <w:gridCol w:w="3175"/>
      </w:tblGrid>
      <w:tr>
        <w:tc>
          <w:tcPr>
            <w:tcW w:type="dxa" w:w="907"/>
            <w:shd w:val="clear" w:color="auto" w:fill="2A2C31"/>
          </w:tcPr>
          <w:p>
            <w:pPr>
              <w:spacing w:after="20"/>
            </w:pPr>
            <w:r>
              <w:rPr>
                <w:b/>
                <w:color w:val="FFFFFF"/>
                <w:sz w:val="17"/>
              </w:rPr>
              <w:t>Minute</w:t>
            </w:r>
          </w:p>
        </w:tc>
        <w:tc>
          <w:tcPr>
            <w:tcW w:type="dxa" w:w="4309"/>
            <w:shd w:val="clear" w:color="auto" w:fill="2A2C31"/>
          </w:tcPr>
          <w:p>
            <w:pPr>
              <w:spacing w:after="20"/>
            </w:pPr>
            <w:r>
              <w:rPr>
                <w:b/>
                <w:color w:val="FFFFFF"/>
                <w:sz w:val="17"/>
              </w:rPr>
              <w:t>Do this</w:t>
            </w:r>
          </w:p>
        </w:tc>
        <w:tc>
          <w:tcPr>
            <w:tcW w:type="dxa" w:w="4195"/>
            <w:shd w:val="clear" w:color="auto" w:fill="2A2C31"/>
          </w:tcPr>
          <w:p>
            <w:pPr>
              <w:spacing w:after="20"/>
            </w:pPr>
            <w:r>
              <w:rPr>
                <w:b/>
                <w:color w:val="FFFFFF"/>
                <w:sz w:val="17"/>
              </w:rPr>
              <w:t>Say this</w:t>
            </w:r>
          </w:p>
        </w:tc>
      </w:tr>
      <w:tr>
        <w:tc>
          <w:tcPr>
            <w:tcW w:type="dxa" w:w="907"/>
          </w:tcPr>
          <w:p>
            <w:pPr>
              <w:spacing w:after="20"/>
            </w:pPr>
            <w:r>
              <w:rPr>
                <w:b w:val="0"/>
                <w:sz w:val="17"/>
              </w:rPr>
              <w:t>0-1</w:t>
            </w:r>
          </w:p>
        </w:tc>
        <w:tc>
          <w:tcPr>
            <w:tcW w:type="dxa" w:w="4309"/>
          </w:tcPr>
          <w:p>
            <w:pPr>
              <w:spacing w:after="20"/>
            </w:pPr>
            <w:r>
              <w:rPr>
                <w:b w:val="0"/>
                <w:sz w:val="17"/>
              </w:rPr>
              <w:t>Open Home, then Assistant; ask 'How does this prototype work?'</w:t>
            </w:r>
          </w:p>
        </w:tc>
        <w:tc>
          <w:tcPr>
            <w:tcW w:type="dxa" w:w="4195"/>
          </w:tcPr>
          <w:p>
            <w:pPr>
              <w:spacing w:after="20"/>
            </w:pPr>
            <w:r>
              <w:rPr>
                <w:b w:val="0"/>
                <w:sz w:val="17"/>
              </w:rPr>
              <w:t>A guided tour starts: the platform explains itself, visually and aloud</w:t>
            </w:r>
          </w:p>
        </w:tc>
      </w:tr>
      <w:tr>
        <w:tc>
          <w:tcPr>
            <w:tcW w:type="dxa" w:w="907"/>
            <w:shd w:val="clear" w:color="auto" w:fill="FAF6EA"/>
          </w:tcPr>
          <w:p>
            <w:pPr>
              <w:spacing w:after="20"/>
            </w:pPr>
            <w:r>
              <w:rPr>
                <w:b w:val="0"/>
                <w:sz w:val="17"/>
              </w:rPr>
              <w:t>1-2</w:t>
            </w:r>
          </w:p>
        </w:tc>
        <w:tc>
          <w:tcPr>
            <w:tcW w:type="dxa" w:w="4309"/>
            <w:shd w:val="clear" w:color="auto" w:fill="FAF6EA"/>
          </w:tcPr>
          <w:p>
            <w:pPr>
              <w:spacing w:after="20"/>
            </w:pPr>
            <w:r>
              <w:rPr>
                <w:b w:val="0"/>
                <w:sz w:val="17"/>
              </w:rPr>
              <w:t>Rural: moneylender, 5 rupees per hundred, Rs 50,000</w:t>
            </w:r>
          </w:p>
        </w:tc>
        <w:tc>
          <w:tcPr>
            <w:tcW w:type="dxa" w:w="4195"/>
            <w:shd w:val="clear" w:color="auto" w:fill="FAF6EA"/>
          </w:tcPr>
          <w:p>
            <w:pPr>
              <w:spacing w:after="20"/>
            </w:pPr>
            <w:r>
              <w:rPr>
                <w:b w:val="0"/>
                <w:sz w:val="17"/>
              </w:rPr>
              <w:t>Sixty per cent a year; this is what the 75% gets, free, in Hindi</w:t>
            </w:r>
          </w:p>
        </w:tc>
      </w:tr>
      <w:tr>
        <w:tc>
          <w:tcPr>
            <w:tcW w:type="dxa" w:w="907"/>
          </w:tcPr>
          <w:p>
            <w:pPr>
              <w:spacing w:after="20"/>
            </w:pPr>
            <w:r>
              <w:rPr>
                <w:b w:val="0"/>
                <w:sz w:val="17"/>
              </w:rPr>
              <w:t>2-3</w:t>
            </w:r>
          </w:p>
        </w:tc>
        <w:tc>
          <w:tcPr>
            <w:tcW w:type="dxa" w:w="4309"/>
          </w:tcPr>
          <w:p>
            <w:pPr>
              <w:spacing w:after="20"/>
            </w:pPr>
            <w:r>
              <w:rPr>
                <w:b w:val="0"/>
                <w:sz w:val="17"/>
              </w:rPr>
              <w:t>Assistant: 'Someone from the bank asked for my OTP'</w:t>
            </w:r>
          </w:p>
        </w:tc>
        <w:tc>
          <w:tcPr>
            <w:tcW w:type="dxa" w:w="4195"/>
          </w:tcPr>
          <w:p>
            <w:pPr>
              <w:spacing w:after="20"/>
            </w:pPr>
            <w:r>
              <w:rPr>
                <w:b w:val="0"/>
                <w:sz w:val="17"/>
              </w:rPr>
              <w:t>A script-specific answer, not a generic warning; open the rehearsal</w:t>
            </w:r>
          </w:p>
        </w:tc>
      </w:tr>
      <w:tr>
        <w:tc>
          <w:tcPr>
            <w:tcW w:type="dxa" w:w="907"/>
            <w:shd w:val="clear" w:color="auto" w:fill="FAF6EA"/>
          </w:tcPr>
          <w:p>
            <w:pPr>
              <w:spacing w:after="20"/>
            </w:pPr>
            <w:r>
              <w:rPr>
                <w:b w:val="0"/>
                <w:sz w:val="17"/>
              </w:rPr>
              <w:t>3-4</w:t>
            </w:r>
          </w:p>
        </w:tc>
        <w:tc>
          <w:tcPr>
            <w:tcW w:type="dxa" w:w="4309"/>
            <w:shd w:val="clear" w:color="auto" w:fill="FAF6EA"/>
          </w:tcPr>
          <w:p>
            <w:pPr>
              <w:spacing w:after="20"/>
            </w:pPr>
            <w:r>
              <w:rPr>
                <w:b w:val="0"/>
                <w:sz w:val="17"/>
              </w:rPr>
              <w:t>WhatsApp page: send 'hi' and a sentence in Hindi</w:t>
            </w:r>
          </w:p>
        </w:tc>
        <w:tc>
          <w:tcPr>
            <w:tcW w:type="dxa" w:w="4195"/>
            <w:shd w:val="clear" w:color="auto" w:fill="FAF6EA"/>
          </w:tcPr>
          <w:p>
            <w:pPr>
              <w:spacing w:after="20"/>
            </w:pPr>
            <w:r>
              <w:rPr>
                <w:b w:val="0"/>
                <w:sz w:val="17"/>
              </w:rPr>
              <w:t>No app, no data plan needed; same tools</w:t>
            </w:r>
          </w:p>
        </w:tc>
      </w:tr>
      <w:tr>
        <w:tc>
          <w:tcPr>
            <w:tcW w:type="dxa" w:w="907"/>
          </w:tcPr>
          <w:p>
            <w:pPr>
              <w:spacing w:after="20"/>
            </w:pPr>
            <w:r>
              <w:rPr>
                <w:b w:val="0"/>
                <w:sz w:val="17"/>
              </w:rPr>
              <w:t>4-5</w:t>
            </w:r>
          </w:p>
        </w:tc>
        <w:tc>
          <w:tcPr>
            <w:tcW w:type="dxa" w:w="4309"/>
          </w:tcPr>
          <w:p>
            <w:pPr>
              <w:spacing w:after="20"/>
            </w:pPr>
            <w:r>
              <w:rPr>
                <w:b w:val="0"/>
                <w:sz w:val="17"/>
              </w:rPr>
              <w:t>Assistant: 'Analyse TCS', then 'Compare Reliance and HDFC Bank'</w:t>
            </w:r>
          </w:p>
        </w:tc>
        <w:tc>
          <w:tcPr>
            <w:tcW w:type="dxa" w:w="4195"/>
          </w:tcPr>
          <w:p>
            <w:pPr>
              <w:spacing w:after="20"/>
            </w:pPr>
            <w:r>
              <w:rPr>
                <w:b w:val="0"/>
                <w:sz w:val="17"/>
              </w:rPr>
              <w:t>Facts, chart, confidence marks; never buy or sell</w:t>
            </w:r>
          </w:p>
        </w:tc>
      </w:tr>
      <w:tr>
        <w:tc>
          <w:tcPr>
            <w:tcW w:type="dxa" w:w="907"/>
            <w:shd w:val="clear" w:color="auto" w:fill="FAF6EA"/>
          </w:tcPr>
          <w:p>
            <w:pPr>
              <w:spacing w:after="20"/>
            </w:pPr>
            <w:r>
              <w:rPr>
                <w:b w:val="0"/>
                <w:sz w:val="17"/>
              </w:rPr>
              <w:t>5-6</w:t>
            </w:r>
          </w:p>
        </w:tc>
        <w:tc>
          <w:tcPr>
            <w:tcW w:type="dxa" w:w="4309"/>
            <w:shd w:val="clear" w:color="auto" w:fill="FAF6EA"/>
          </w:tcPr>
          <w:p>
            <w:pPr>
              <w:spacing w:after="20"/>
            </w:pPr>
            <w:r>
              <w:rPr>
                <w:b w:val="0"/>
                <w:sz w:val="17"/>
              </w:rPr>
              <w:t>Govern: check a trade that breaks the limit; Tamper test</w:t>
            </w:r>
          </w:p>
        </w:tc>
        <w:tc>
          <w:tcPr>
            <w:tcW w:type="dxa" w:w="4195"/>
            <w:shd w:val="clear" w:color="auto" w:fill="FAF6EA"/>
          </w:tcPr>
          <w:p>
            <w:pPr>
              <w:spacing w:after="20"/>
            </w:pPr>
            <w:r>
              <w:rPr>
                <w:b w:val="0"/>
                <w:sz w:val="17"/>
              </w:rPr>
              <w:t>Rules no AI can override; a record that catches edits</w:t>
            </w:r>
          </w:p>
        </w:tc>
      </w:tr>
    </w:tbl>
    <w:p>
      <w:pPr>
        <w:spacing w:after="40"/>
      </w:pPr>
    </w:p>
    <w:p>
      <w:pPr>
        <w:pStyle w:val="Heading1"/>
      </w:pPr>
      <w:r>
        <w:t>Appendix B. Questions reviewers ask</w:t>
      </w:r>
    </w:p>
    <w:tbl>
      <w:tblPr>
        <w:tblW w:type="auto" w:w="0"/>
        <w:jc w:val="center"/>
        <w:tblLayout w:type="fixed"/>
        <w:tblLook w:firstColumn="1" w:firstRow="1" w:lastColumn="0" w:lastRow="0" w:noHBand="0" w:noVBand="1" w:val="04A0"/>
        <w:tblBorders>
          <w:top w:val="single" w:sz="4" w:color="D8D0BC"/>
          <w:left w:val="single" w:sz="4" w:color="D8D0BC"/>
          <w:bottom w:val="single" w:sz="4" w:color="D8D0BC"/>
          <w:right w:val="single" w:sz="4" w:color="D8D0BC"/>
          <w:insideH w:val="single" w:sz="4" w:color="D8D0BC"/>
          <w:insideV w:val="single" w:sz="4" w:color="D8D0BC"/>
        </w:tblBorders>
      </w:tblPr>
      <w:tblGrid>
        <w:gridCol w:w="4762"/>
        <w:gridCol w:w="4762"/>
      </w:tblGrid>
      <w:tr>
        <w:tc>
          <w:tcPr>
            <w:tcW w:type="dxa" w:w="2948"/>
            <w:shd w:val="clear" w:color="auto" w:fill="2A2C31"/>
          </w:tcPr>
          <w:p>
            <w:pPr>
              <w:spacing w:after="20"/>
            </w:pPr>
            <w:r>
              <w:rPr>
                <w:b/>
                <w:color w:val="FFFFFF"/>
                <w:sz w:val="17"/>
              </w:rPr>
              <w:t>Question</w:t>
            </w:r>
          </w:p>
        </w:tc>
        <w:tc>
          <w:tcPr>
            <w:tcW w:type="dxa" w:w="6463"/>
            <w:shd w:val="clear" w:color="auto" w:fill="2A2C31"/>
          </w:tcPr>
          <w:p>
            <w:pPr>
              <w:spacing w:after="20"/>
            </w:pPr>
            <w:r>
              <w:rPr>
                <w:b/>
                <w:color w:val="FFFFFF"/>
                <w:sz w:val="17"/>
              </w:rPr>
              <w:t>Short answer</w:t>
            </w:r>
          </w:p>
        </w:tc>
      </w:tr>
      <w:tr>
        <w:tc>
          <w:tcPr>
            <w:tcW w:type="dxa" w:w="2948"/>
          </w:tcPr>
          <w:p>
            <w:pPr>
              <w:spacing w:after="20"/>
            </w:pPr>
            <w:r>
              <w:rPr>
                <w:b w:val="0"/>
                <w:sz w:val="17"/>
              </w:rPr>
              <w:t>Is this financial advice?</w:t>
            </w:r>
          </w:p>
        </w:tc>
        <w:tc>
          <w:tcPr>
            <w:tcW w:type="dxa" w:w="6463"/>
          </w:tcPr>
          <w:p>
            <w:pPr>
              <w:spacing w:after="20"/>
            </w:pPr>
            <w:r>
              <w:rPr>
                <w:b w:val="0"/>
                <w:sz w:val="17"/>
              </w:rPr>
              <w:t>No. It describes and explains, never says buy, sell or hold, and shows how much to trust each point.</w:t>
            </w:r>
          </w:p>
        </w:tc>
      </w:tr>
      <w:tr>
        <w:tc>
          <w:tcPr>
            <w:tcW w:type="dxa" w:w="2948"/>
            <w:shd w:val="clear" w:color="auto" w:fill="FAF6EA"/>
          </w:tcPr>
          <w:p>
            <w:pPr>
              <w:spacing w:after="20"/>
            </w:pPr>
            <w:r>
              <w:rPr>
                <w:b w:val="0"/>
                <w:sz w:val="17"/>
              </w:rPr>
              <w:t>How do you avoid wrong numbers?</w:t>
            </w:r>
          </w:p>
        </w:tc>
        <w:tc>
          <w:tcPr>
            <w:tcW w:type="dxa" w:w="6463"/>
            <w:shd w:val="clear" w:color="auto" w:fill="FAF6EA"/>
          </w:tcPr>
          <w:p>
            <w:pPr>
              <w:spacing w:after="20"/>
            </w:pPr>
            <w:r>
              <w:rPr>
                <w:b w:val="0"/>
                <w:sz w:val="17"/>
              </w:rPr>
              <w:t>No language model produces a number. Calculators and dated data do, and 520 tests check them.</w:t>
            </w:r>
          </w:p>
        </w:tc>
      </w:tr>
      <w:tr>
        <w:tc>
          <w:tcPr>
            <w:tcW w:type="dxa" w:w="2948"/>
          </w:tcPr>
          <w:p>
            <w:pPr>
              <w:spacing w:after="20"/>
            </w:pPr>
            <w:r>
              <w:rPr>
                <w:b w:val="0"/>
                <w:sz w:val="17"/>
              </w:rPr>
              <w:t>Who pays if users are poor?</w:t>
            </w:r>
          </w:p>
        </w:tc>
        <w:tc>
          <w:tcPr>
            <w:tcW w:type="dxa" w:w="6463"/>
          </w:tcPr>
          <w:p>
            <w:pPr>
              <w:spacing w:after="20"/>
            </w:pPr>
            <w:r>
              <w:rPr>
                <w:b w:val="0"/>
                <w:sz w:val="17"/>
              </w:rPr>
              <w:t>Institutions that gain from fewer frauds and more inclusion: banks, co-operatives, NGOs, CSR funds, state missions.</w:t>
            </w:r>
          </w:p>
        </w:tc>
      </w:tr>
      <w:tr>
        <w:tc>
          <w:tcPr>
            <w:tcW w:type="dxa" w:w="2948"/>
            <w:shd w:val="clear" w:color="auto" w:fill="FAF6EA"/>
          </w:tcPr>
          <w:p>
            <w:pPr>
              <w:spacing w:after="20"/>
            </w:pPr>
            <w:r>
              <w:rPr>
                <w:b w:val="0"/>
                <w:sz w:val="17"/>
              </w:rPr>
              <w:t>Does it work without internet?</w:t>
            </w:r>
          </w:p>
        </w:tc>
        <w:tc>
          <w:tcPr>
            <w:tcW w:type="dxa" w:w="6463"/>
            <w:shd w:val="clear" w:color="auto" w:fill="FAF6EA"/>
          </w:tcPr>
          <w:p>
            <w:pPr>
              <w:spacing w:after="20"/>
            </w:pPr>
            <w:r>
              <w:rPr>
                <w:b w:val="0"/>
                <w:sz w:val="17"/>
              </w:rPr>
              <w:t>Yes, for the rural tools: the calculators run in the browser from a saved pack. Fresh prices need a connection.</w:t>
            </w:r>
          </w:p>
        </w:tc>
      </w:tr>
      <w:tr>
        <w:tc>
          <w:tcPr>
            <w:tcW w:type="dxa" w:w="2948"/>
          </w:tcPr>
          <w:p>
            <w:pPr>
              <w:spacing w:after="20"/>
            </w:pPr>
            <w:r>
              <w:rPr>
                <w:b w:val="0"/>
                <w:sz w:val="17"/>
              </w:rPr>
              <w:t>Why Hindi first?</w:t>
            </w:r>
          </w:p>
        </w:tc>
        <w:tc>
          <w:tcPr>
            <w:tcW w:type="dxa" w:w="6463"/>
          </w:tcPr>
          <w:p>
            <w:pPr>
              <w:spacing w:after="20"/>
            </w:pPr>
            <w:r>
              <w:rPr>
                <w:b w:val="0"/>
                <w:sz w:val="17"/>
              </w:rPr>
              <w:t>It is the largest language among the underserved group. The content model lets more languages be added with review by native speakers.</w:t>
            </w:r>
          </w:p>
        </w:tc>
      </w:tr>
      <w:tr>
        <w:tc>
          <w:tcPr>
            <w:tcW w:type="dxa" w:w="2948"/>
            <w:shd w:val="clear" w:color="auto" w:fill="FAF6EA"/>
          </w:tcPr>
          <w:p>
            <w:pPr>
              <w:spacing w:after="20"/>
            </w:pPr>
            <w:r>
              <w:rPr>
                <w:b w:val="0"/>
                <w:sz w:val="17"/>
              </w:rPr>
              <w:t>What is real and what is a mock?</w:t>
            </w:r>
          </w:p>
        </w:tc>
        <w:tc>
          <w:tcPr>
            <w:tcW w:type="dxa" w:w="6463"/>
            <w:shd w:val="clear" w:color="auto" w:fill="FAF6EA"/>
          </w:tcPr>
          <w:p>
            <w:pPr>
              <w:spacing w:after="20"/>
            </w:pPr>
            <w:r>
              <w:rPr>
                <w:b w:val="0"/>
                <w:sz w:val="17"/>
              </w:rPr>
              <w:t>The tools, the assistant, the research summary and the audit chain are real. WhatsApp is simulated until a number is connected; trading is paper only.</w:t>
            </w:r>
          </w:p>
        </w:tc>
      </w:tr>
      <w:tr>
        <w:tc>
          <w:tcPr>
            <w:tcW w:type="dxa" w:w="2948"/>
          </w:tcPr>
          <w:p>
            <w:pPr>
              <w:spacing w:after="20"/>
            </w:pPr>
            <w:r>
              <w:rPr>
                <w:b w:val="0"/>
                <w:sz w:val="17"/>
              </w:rPr>
              <w:t>What if a scam script is misused?</w:t>
            </w:r>
          </w:p>
        </w:tc>
        <w:tc>
          <w:tcPr>
            <w:tcW w:type="dxa" w:w="6463"/>
          </w:tcPr>
          <w:p>
            <w:pPr>
              <w:spacing w:after="20"/>
            </w:pPr>
            <w:r>
              <w:rPr>
                <w:b w:val="0"/>
                <w:sz w:val="17"/>
              </w:rPr>
              <w:t>Answers are written from the victim's side, with protective steps and no operational detail.</w:t>
            </w:r>
          </w:p>
        </w:tc>
      </w:tr>
      <w:tr>
        <w:tc>
          <w:tcPr>
            <w:tcW w:type="dxa" w:w="2948"/>
            <w:shd w:val="clear" w:color="auto" w:fill="FAF6EA"/>
          </w:tcPr>
          <w:p>
            <w:pPr>
              <w:spacing w:after="20"/>
            </w:pPr>
            <w:r>
              <w:rPr>
                <w:b w:val="0"/>
                <w:sz w:val="17"/>
              </w:rPr>
              <w:t>What is next?</w:t>
            </w:r>
          </w:p>
        </w:tc>
        <w:tc>
          <w:tcPr>
            <w:tcW w:type="dxa" w:w="6463"/>
            <w:shd w:val="clear" w:color="auto" w:fill="FAF6EA"/>
          </w:tcPr>
          <w:p>
            <w:pPr>
              <w:spacing w:after="20"/>
            </w:pPr>
            <w:r>
              <w:rPr>
                <w:b w:val="0"/>
                <w:sz w:val="17"/>
              </w:rPr>
              <w:t>A pilot with two or three partners and a real WhatsApp number, then more languages and voice-first access.</w:t>
            </w:r>
          </w:p>
        </w:tc>
      </w:tr>
    </w:tbl>
    <w:p>
      <w:pPr>
        <w:spacing w:after="40"/>
      </w:pPr>
    </w:p>
    <w:p>
      <w:pPr>
        <w:pStyle w:val="Heading1"/>
      </w:pPr>
      <w:r>
        <w:t>Appendix C. Glossary</w:t>
      </w:r>
    </w:p>
    <w:tbl>
      <w:tblPr>
        <w:tblW w:type="auto" w:w="0"/>
        <w:jc w:val="center"/>
        <w:tblLayout w:type="fixed"/>
        <w:tblLook w:firstColumn="1" w:firstRow="1" w:lastColumn="0" w:lastRow="0" w:noHBand="0" w:noVBand="1" w:val="04A0"/>
        <w:tblBorders>
          <w:top w:val="single" w:sz="4" w:color="D8D0BC"/>
          <w:left w:val="single" w:sz="4" w:color="D8D0BC"/>
          <w:bottom w:val="single" w:sz="4" w:color="D8D0BC"/>
          <w:right w:val="single" w:sz="4" w:color="D8D0BC"/>
          <w:insideH w:val="single" w:sz="4" w:color="D8D0BC"/>
          <w:insideV w:val="single" w:sz="4" w:color="D8D0BC"/>
        </w:tblBorders>
      </w:tblPr>
      <w:tblGrid>
        <w:gridCol w:w="4762"/>
        <w:gridCol w:w="4762"/>
      </w:tblGrid>
      <w:tr>
        <w:tc>
          <w:tcPr>
            <w:tcW w:type="dxa" w:w="2041"/>
            <w:shd w:val="clear" w:color="auto" w:fill="2A2C31"/>
          </w:tcPr>
          <w:p>
            <w:pPr>
              <w:spacing w:after="20"/>
            </w:pPr>
            <w:r>
              <w:rPr>
                <w:b/>
                <w:color w:val="FFFFFF"/>
                <w:sz w:val="18"/>
              </w:rPr>
              <w:t>Term</w:t>
            </w:r>
          </w:p>
        </w:tc>
        <w:tc>
          <w:tcPr>
            <w:tcW w:type="dxa" w:w="7370"/>
            <w:shd w:val="clear" w:color="auto" w:fill="2A2C31"/>
          </w:tcPr>
          <w:p>
            <w:pPr>
              <w:spacing w:after="20"/>
            </w:pPr>
            <w:r>
              <w:rPr>
                <w:b/>
                <w:color w:val="FFFFFF"/>
                <w:sz w:val="18"/>
              </w:rPr>
              <w:t>Meaning</w:t>
            </w:r>
          </w:p>
        </w:tc>
      </w:tr>
      <w:tr>
        <w:tc>
          <w:tcPr>
            <w:tcW w:type="dxa" w:w="2041"/>
          </w:tcPr>
          <w:p>
            <w:pPr>
              <w:spacing w:after="20"/>
            </w:pPr>
            <w:r>
              <w:rPr>
                <w:b w:val="0"/>
                <w:sz w:val="18"/>
              </w:rPr>
              <w:t>SHG</w:t>
            </w:r>
          </w:p>
        </w:tc>
        <w:tc>
          <w:tcPr>
            <w:tcW w:type="dxa" w:w="7370"/>
          </w:tcPr>
          <w:p>
            <w:pPr>
              <w:spacing w:after="20"/>
            </w:pPr>
            <w:r>
              <w:rPr>
                <w:b w:val="0"/>
                <w:sz w:val="18"/>
              </w:rPr>
              <w:t>Self-help group: a small group, usually of women, that saves and lends together</w:t>
            </w:r>
          </w:p>
        </w:tc>
      </w:tr>
      <w:tr>
        <w:tc>
          <w:tcPr>
            <w:tcW w:type="dxa" w:w="2041"/>
            <w:shd w:val="clear" w:color="auto" w:fill="FAF6EA"/>
          </w:tcPr>
          <w:p>
            <w:pPr>
              <w:spacing w:after="20"/>
            </w:pPr>
            <w:r>
              <w:rPr>
                <w:b w:val="0"/>
                <w:sz w:val="18"/>
              </w:rPr>
              <w:t>DBT</w:t>
            </w:r>
          </w:p>
        </w:tc>
        <w:tc>
          <w:tcPr>
            <w:tcW w:type="dxa" w:w="7370"/>
            <w:shd w:val="clear" w:color="auto" w:fill="FAF6EA"/>
          </w:tcPr>
          <w:p>
            <w:pPr>
              <w:spacing w:after="20"/>
            </w:pPr>
            <w:r>
              <w:rPr>
                <w:b w:val="0"/>
                <w:sz w:val="18"/>
              </w:rPr>
              <w:t>Direct benefit transfer of subsidies and pensions to bank accounts</w:t>
            </w:r>
          </w:p>
        </w:tc>
      </w:tr>
      <w:tr>
        <w:tc>
          <w:tcPr>
            <w:tcW w:type="dxa" w:w="2041"/>
          </w:tcPr>
          <w:p>
            <w:pPr>
              <w:spacing w:after="20"/>
            </w:pPr>
            <w:r>
              <w:rPr>
                <w:b w:val="0"/>
                <w:sz w:val="18"/>
              </w:rPr>
              <w:t>UPI</w:t>
            </w:r>
          </w:p>
        </w:tc>
        <w:tc>
          <w:tcPr>
            <w:tcW w:type="dxa" w:w="7370"/>
          </w:tcPr>
          <w:p>
            <w:pPr>
              <w:spacing w:after="20"/>
            </w:pPr>
            <w:r>
              <w:rPr>
                <w:b w:val="0"/>
                <w:sz w:val="18"/>
              </w:rPr>
              <w:t>Unified Payments Interface, India's instant payment system</w:t>
            </w:r>
          </w:p>
        </w:tc>
      </w:tr>
      <w:tr>
        <w:tc>
          <w:tcPr>
            <w:tcW w:type="dxa" w:w="2041"/>
            <w:shd w:val="clear" w:color="auto" w:fill="FAF6EA"/>
          </w:tcPr>
          <w:p>
            <w:pPr>
              <w:spacing w:after="20"/>
            </w:pPr>
            <w:r>
              <w:rPr>
                <w:b w:val="0"/>
                <w:sz w:val="18"/>
              </w:rPr>
              <w:t>SIP</w:t>
            </w:r>
          </w:p>
        </w:tc>
        <w:tc>
          <w:tcPr>
            <w:tcW w:type="dxa" w:w="7370"/>
            <w:shd w:val="clear" w:color="auto" w:fill="FAF6EA"/>
          </w:tcPr>
          <w:p>
            <w:pPr>
              <w:spacing w:after="20"/>
            </w:pPr>
            <w:r>
              <w:rPr>
                <w:b w:val="0"/>
                <w:sz w:val="18"/>
              </w:rPr>
              <w:t>Systematic investment plan: a fixed monthly investment into a fund</w:t>
            </w:r>
          </w:p>
        </w:tc>
      </w:tr>
      <w:tr>
        <w:tc>
          <w:tcPr>
            <w:tcW w:type="dxa" w:w="2041"/>
          </w:tcPr>
          <w:p>
            <w:pPr>
              <w:spacing w:after="20"/>
            </w:pPr>
            <w:r>
              <w:rPr>
                <w:b w:val="0"/>
                <w:sz w:val="18"/>
              </w:rPr>
              <w:t>Point-in-time store</w:t>
            </w:r>
          </w:p>
        </w:tc>
        <w:tc>
          <w:tcPr>
            <w:tcW w:type="dxa" w:w="7370"/>
          </w:tcPr>
          <w:p>
            <w:pPr>
              <w:spacing w:after="20"/>
            </w:pPr>
            <w:r>
              <w:rPr>
                <w:b w:val="0"/>
                <w:sz w:val="18"/>
              </w:rPr>
              <w:t>A data store where every read is filtered by a clock so the future is hidden</w:t>
            </w:r>
          </w:p>
        </w:tc>
      </w:tr>
      <w:tr>
        <w:tc>
          <w:tcPr>
            <w:tcW w:type="dxa" w:w="2041"/>
            <w:shd w:val="clear" w:color="auto" w:fill="FAF6EA"/>
          </w:tcPr>
          <w:p>
            <w:pPr>
              <w:spacing w:after="20"/>
            </w:pPr>
            <w:r>
              <w:rPr>
                <w:b w:val="0"/>
                <w:sz w:val="18"/>
              </w:rPr>
              <w:t>Hash chain</w:t>
            </w:r>
          </w:p>
        </w:tc>
        <w:tc>
          <w:tcPr>
            <w:tcW w:type="dxa" w:w="7370"/>
            <w:shd w:val="clear" w:color="auto" w:fill="FAF6EA"/>
          </w:tcPr>
          <w:p>
            <w:pPr>
              <w:spacing w:after="20"/>
            </w:pPr>
            <w:r>
              <w:rPr>
                <w:b w:val="0"/>
                <w:sz w:val="18"/>
              </w:rPr>
              <w:t>Each record carries a fingerprint of the one before it, so an edit is detectable</w:t>
            </w:r>
          </w:p>
        </w:tc>
      </w:tr>
      <w:tr>
        <w:tc>
          <w:tcPr>
            <w:tcW w:type="dxa" w:w="2041"/>
          </w:tcPr>
          <w:p>
            <w:pPr>
              <w:spacing w:after="20"/>
            </w:pPr>
            <w:r>
              <w:rPr>
                <w:b w:val="0"/>
                <w:sz w:val="18"/>
              </w:rPr>
              <w:t>Confidence mark</w:t>
            </w:r>
          </w:p>
        </w:tc>
        <w:tc>
          <w:tcPr>
            <w:tcW w:type="dxa" w:w="7370"/>
          </w:tcPr>
          <w:p>
            <w:pPr>
              <w:spacing w:after="20"/>
            </w:pPr>
            <w:r>
              <w:rPr>
                <w:b w:val="0"/>
                <w:sz w:val="18"/>
              </w:rPr>
              <w:t>Solid, light or weak: how much data a point rests on</w:t>
            </w:r>
          </w:p>
        </w:tc>
      </w:tr>
      <w:tr>
        <w:tc>
          <w:tcPr>
            <w:tcW w:type="dxa" w:w="2041"/>
            <w:shd w:val="clear" w:color="auto" w:fill="FAF6EA"/>
          </w:tcPr>
          <w:p>
            <w:pPr>
              <w:spacing w:after="20"/>
            </w:pPr>
            <w:r>
              <w:rPr>
                <w:b w:val="0"/>
                <w:sz w:val="18"/>
              </w:rPr>
              <w:t>CSC</w:t>
            </w:r>
          </w:p>
        </w:tc>
        <w:tc>
          <w:tcPr>
            <w:tcW w:type="dxa" w:w="7370"/>
            <w:shd w:val="clear" w:color="auto" w:fill="FAF6EA"/>
          </w:tcPr>
          <w:p>
            <w:pPr>
              <w:spacing w:after="20"/>
            </w:pPr>
            <w:r>
              <w:rPr>
                <w:b w:val="0"/>
                <w:sz w:val="18"/>
              </w:rPr>
              <w:t>Common Service Centre: village-level digital service points</w:t>
            </w:r>
          </w:p>
        </w:tc>
      </w:tr>
      <w:tr>
        <w:tc>
          <w:tcPr>
            <w:tcW w:type="dxa" w:w="2041"/>
          </w:tcPr>
          <w:p>
            <w:pPr>
              <w:spacing w:after="20"/>
            </w:pPr>
            <w:r>
              <w:rPr>
                <w:b w:val="0"/>
                <w:sz w:val="18"/>
              </w:rPr>
              <w:t>IVR / USSD</w:t>
            </w:r>
          </w:p>
        </w:tc>
        <w:tc>
          <w:tcPr>
            <w:tcW w:type="dxa" w:w="7370"/>
          </w:tcPr>
          <w:p>
            <w:pPr>
              <w:spacing w:after="20"/>
            </w:pPr>
            <w:r>
              <w:rPr>
                <w:b w:val="0"/>
                <w:sz w:val="18"/>
              </w:rPr>
              <w:t>Voice-menu and short-code phone services that work on basic phones</w:t>
            </w:r>
          </w:p>
        </w:tc>
      </w:tr>
    </w:tbl>
    <w:p>
      <w:pPr>
        <w:spacing w:after="40"/>
      </w:pPr>
    </w:p>
    <w:p>
      <w:pPr>
        <w:pStyle w:val="Heading1"/>
      </w:pPr>
      <w:r>
        <w:t>Appendix D. Sources and notes</w:t>
      </w:r>
    </w:p>
    <w:p>
      <w:pPr>
        <w:pStyle w:val="ListBullet"/>
        <w:spacing w:after="40"/>
      </w:pPr>
      <w:r>
        <w:rPr>
          <w:b w:val="0"/>
        </w:rPr>
        <w:t>Product facts come from the prototype itself (code and tests at the time of writing).</w:t>
      </w:r>
    </w:p>
    <w:p>
      <w:pPr>
        <w:pStyle w:val="ListBullet"/>
        <w:spacing w:after="40"/>
      </w:pPr>
      <w:r>
        <w:rPr>
          <w:b w:val="0"/>
        </w:rPr>
        <w:t>India context: RBI, NPCI, SEBI, Ministry of Rural Development (DAY-NRLM), NCFE financial-literacy survey 2019, MeitY (CSC). Figures are rounded and should be refreshed before external use.</w:t>
      </w:r>
    </w:p>
    <w:p>
      <w:pPr>
        <w:pStyle w:val="ListBullet"/>
        <w:spacing w:after="40"/>
      </w:pPr>
      <w:r>
        <w:rPr>
          <w:b w:val="0"/>
        </w:rPr>
        <w:t>Business figures are illustrative assumptions to be replaced by pilot data.</w:t>
      </w:r>
    </w:p>
    <w:sectPr w:rsidR="00FC693F" w:rsidRPr="0006063C" w:rsidSect="00034616">
      <w:footerReference w:type="default" r:id="rId9"/>
      <w:pgSz w:w="11906" w:h="16838"/>
      <w:pgMar w:top="1134" w:right="1191" w:bottom="107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75C"/>
        <w:sz w:val="17"/>
      </w:rPr>
      <w:t xml:space="preserve">Jarvis, money plainly  |  Product brief  |  page </w:t>
    </w:r>
    <w:r>
      <w:rPr>
        <w:sz w:val="17"/>
      </w:rPr>
      <w:fldChar w:fldCharType="begin"/>
    </w:r>
    <w:r>
      <w:rPr>
        <w:sz w:val="17"/>
      </w:rPr>
      <w:instrText xml:space="preserve">PAGE</w:instrText>
    </w:r>
    <w:r>
      <w:rPr>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B8760A"/>
      <w:sz w:val="4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mbria" w:hAnsi="Cambria" w:eastAsia="Cambria"/>
      <w:b/>
      <w:bCs/>
      <w:color w:val="1D1B16"/>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Cambria" w:hAnsi="Cambria" w:eastAsia="Cambria"/>
      <w:b/>
      <w:bCs/>
      <w:color w:val="B8760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