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04684" w14:textId="7C0680FA" w:rsidR="00200A4B" w:rsidRPr="003A1F8A" w:rsidRDefault="00200A4B" w:rsidP="00200A4B">
      <w:pPr>
        <w:pStyle w:val="Title"/>
        <w:jc w:val="center"/>
        <w:rPr>
          <w:color w:val="4472C4" w:themeColor="accent1"/>
        </w:rPr>
      </w:pPr>
      <w:r w:rsidRPr="003A1F8A">
        <w:rPr>
          <w:color w:val="4472C4" w:themeColor="accent1"/>
        </w:rPr>
        <w:t xml:space="preserve">Market Segmentation </w:t>
      </w:r>
      <w:r w:rsidRPr="003A1F8A">
        <w:rPr>
          <w:color w:val="4472C4" w:themeColor="accent1"/>
        </w:rPr>
        <w:t>of Beer Focused Venues</w:t>
      </w:r>
    </w:p>
    <w:p w14:paraId="208EED95" w14:textId="77777777" w:rsidR="00D90C3B" w:rsidRPr="00D90C3B" w:rsidRDefault="00D90C3B" w:rsidP="00D90C3B"/>
    <w:p w14:paraId="7614356A" w14:textId="322D6B68" w:rsidR="00200A4B" w:rsidRPr="00200A4B" w:rsidRDefault="00200A4B" w:rsidP="00200A4B">
      <w:pPr>
        <w:pStyle w:val="Subtitle"/>
        <w:jc w:val="center"/>
      </w:pPr>
      <w:r w:rsidRPr="00200A4B">
        <w:t xml:space="preserve">A clustering approach </w:t>
      </w:r>
      <w:r w:rsidR="00D90C3B">
        <w:t xml:space="preserve">encompassing </w:t>
      </w:r>
      <w:r w:rsidRPr="00200A4B">
        <w:t xml:space="preserve">most populous US </w:t>
      </w:r>
      <w:r w:rsidR="00D90C3B">
        <w:t>neighborhoods</w:t>
      </w:r>
    </w:p>
    <w:p w14:paraId="7E70604C" w14:textId="77777777" w:rsidR="00200A4B" w:rsidRPr="00200A4B" w:rsidRDefault="00200A4B" w:rsidP="00200A4B">
      <w:pPr>
        <w:jc w:val="center"/>
      </w:pPr>
    </w:p>
    <w:p w14:paraId="4C57B176" w14:textId="3C45C7B0" w:rsidR="00200A4B" w:rsidRPr="00D90C3B" w:rsidRDefault="00200A4B" w:rsidP="00200A4B">
      <w:pPr>
        <w:jc w:val="center"/>
      </w:pPr>
      <w:r w:rsidRPr="00D90C3B">
        <w:t>Victor Jacobsen</w:t>
      </w:r>
    </w:p>
    <w:p w14:paraId="647E2A0D" w14:textId="77777777" w:rsidR="00D90C3B" w:rsidRDefault="00D90C3B" w:rsidP="00D90C3B"/>
    <w:p w14:paraId="05654A45" w14:textId="77777777" w:rsidR="00D90C3B" w:rsidRDefault="00D90C3B" w:rsidP="00D90C3B"/>
    <w:p w14:paraId="112F7B95" w14:textId="572018D3" w:rsidR="00200A4B" w:rsidRPr="00D90C3B" w:rsidRDefault="00200A4B" w:rsidP="00D90C3B">
      <w:pPr>
        <w:pStyle w:val="Heading2"/>
      </w:pPr>
      <w:r w:rsidRPr="00D90C3B">
        <w:t xml:space="preserve">Introduction </w:t>
      </w:r>
    </w:p>
    <w:p w14:paraId="7914BF8D" w14:textId="77777777" w:rsidR="00200A4B" w:rsidRDefault="00200A4B" w:rsidP="00200A4B">
      <w:pPr>
        <w:rPr>
          <w:lang w:eastAsia="pt-BR"/>
        </w:rPr>
      </w:pPr>
    </w:p>
    <w:p w14:paraId="2438865D" w14:textId="06F7FC81" w:rsidR="001564BC" w:rsidRDefault="00200A4B" w:rsidP="00D90C3B">
      <w:pPr>
        <w:jc w:val="both"/>
        <w:rPr>
          <w:lang w:eastAsia="pt-BR"/>
        </w:rPr>
      </w:pPr>
      <w:r>
        <w:rPr>
          <w:lang w:eastAsia="pt-BR"/>
        </w:rPr>
        <w:t>Taprooms, beer bars, breweries and other similar themed venues have become a popular hangout spot in the US during the past years</w:t>
      </w:r>
      <w:sdt>
        <w:sdtPr>
          <w:rPr>
            <w:lang w:eastAsia="pt-BR"/>
          </w:rPr>
          <w:id w:val="-2075420715"/>
          <w:citation/>
        </w:sdtPr>
        <w:sdtContent>
          <w:r>
            <w:rPr>
              <w:lang w:eastAsia="pt-BR"/>
            </w:rPr>
            <w:fldChar w:fldCharType="begin"/>
          </w:r>
          <w:r>
            <w:rPr>
              <w:lang w:eastAsia="pt-BR"/>
            </w:rPr>
            <w:instrText xml:space="preserve"> CITATION Chr19 \l 1033 </w:instrText>
          </w:r>
          <w:r>
            <w:rPr>
              <w:lang w:eastAsia="pt-BR"/>
            </w:rPr>
            <w:fldChar w:fldCharType="separate"/>
          </w:r>
          <w:r w:rsidR="009B5F16">
            <w:rPr>
              <w:noProof/>
              <w:lang w:eastAsia="pt-BR"/>
            </w:rPr>
            <w:t xml:space="preserve"> (1)</w:t>
          </w:r>
          <w:r>
            <w:rPr>
              <w:lang w:eastAsia="pt-BR"/>
            </w:rPr>
            <w:fldChar w:fldCharType="end"/>
          </w:r>
        </w:sdtContent>
      </w:sdt>
      <w:r>
        <w:rPr>
          <w:lang w:eastAsia="pt-BR"/>
        </w:rPr>
        <w:t xml:space="preserve">. </w:t>
      </w:r>
      <w:r w:rsidR="001564BC">
        <w:rPr>
          <w:lang w:eastAsia="pt-BR"/>
        </w:rPr>
        <w:t>Understanding the demographical commonalities around these beer focused venues can unlock key insights for breweries and venue owners around the US. These insights can be used for marketing campaign targeting, defining customer profiles or even guiding decisions of where to establish a new business.</w:t>
      </w:r>
    </w:p>
    <w:p w14:paraId="11083DB1" w14:textId="77777777" w:rsidR="001564BC" w:rsidRDefault="001564BC" w:rsidP="00D90C3B">
      <w:pPr>
        <w:jc w:val="both"/>
        <w:rPr>
          <w:lang w:eastAsia="pt-BR"/>
        </w:rPr>
      </w:pPr>
    </w:p>
    <w:p w14:paraId="2E81E0C1" w14:textId="2727538A" w:rsidR="00200A4B" w:rsidRDefault="00200A4B" w:rsidP="00D90C3B">
      <w:pPr>
        <w:jc w:val="both"/>
        <w:rPr>
          <w:lang w:eastAsia="pt-BR"/>
        </w:rPr>
      </w:pPr>
      <w:r w:rsidRPr="00200A4B">
        <w:rPr>
          <w:lang w:eastAsia="pt-BR"/>
        </w:rPr>
        <w:t xml:space="preserve">This project </w:t>
      </w:r>
      <w:r>
        <w:rPr>
          <w:lang w:eastAsia="pt-BR"/>
        </w:rPr>
        <w:t xml:space="preserve">will </w:t>
      </w:r>
      <w:r w:rsidR="001564BC">
        <w:rPr>
          <w:lang w:eastAsia="pt-BR"/>
        </w:rPr>
        <w:t>look at defining the key differences and commonalities across top US markets, based on the prevalence of beer focused entertainment venues.</w:t>
      </w:r>
      <w:r w:rsidR="00402911">
        <w:rPr>
          <w:lang w:eastAsia="pt-BR"/>
        </w:rPr>
        <w:t xml:space="preserve"> The focus of the project is to establish a distinction between neighborhoods within the most populous US </w:t>
      </w:r>
      <w:r w:rsidR="000708F0">
        <w:rPr>
          <w:lang w:eastAsia="pt-BR"/>
        </w:rPr>
        <w:t>cities</w:t>
      </w:r>
      <w:r w:rsidR="00402911">
        <w:rPr>
          <w:lang w:eastAsia="pt-BR"/>
        </w:rPr>
        <w:t>, based on their demographical profile and beer venue occurrence</w:t>
      </w:r>
      <w:r w:rsidR="000708F0">
        <w:rPr>
          <w:lang w:eastAsia="pt-BR"/>
        </w:rPr>
        <w:t xml:space="preserve"> at neighborhood level</w:t>
      </w:r>
      <w:r w:rsidR="00402911">
        <w:rPr>
          <w:lang w:eastAsia="pt-BR"/>
        </w:rPr>
        <w:t>.</w:t>
      </w:r>
      <w:r w:rsidR="000708F0">
        <w:rPr>
          <w:lang w:eastAsia="pt-BR"/>
        </w:rPr>
        <w:t xml:space="preserve"> </w:t>
      </w:r>
      <w:r w:rsidR="00CF5131">
        <w:rPr>
          <w:lang w:eastAsia="pt-BR"/>
        </w:rPr>
        <w:t>A few potential questions this project hopes to answer</w:t>
      </w:r>
      <w:r w:rsidR="00402911">
        <w:rPr>
          <w:lang w:eastAsia="pt-BR"/>
        </w:rPr>
        <w:t xml:space="preserve"> </w:t>
      </w:r>
      <w:r w:rsidR="00CF5131">
        <w:rPr>
          <w:lang w:eastAsia="pt-BR"/>
        </w:rPr>
        <w:t xml:space="preserve">are: </w:t>
      </w:r>
    </w:p>
    <w:p w14:paraId="2ABC9666" w14:textId="14EFA0BD" w:rsidR="00CF5131" w:rsidRDefault="00CF5131" w:rsidP="00CF5131">
      <w:pPr>
        <w:pStyle w:val="ListParagraph"/>
        <w:numPr>
          <w:ilvl w:val="0"/>
          <w:numId w:val="2"/>
        </w:numPr>
        <w:jc w:val="both"/>
        <w:rPr>
          <w:lang w:eastAsia="pt-BR"/>
        </w:rPr>
      </w:pPr>
      <w:r>
        <w:rPr>
          <w:lang w:eastAsia="pt-BR"/>
        </w:rPr>
        <w:t>Which age group is more prevalent in markets with a high ratio of beer venues?</w:t>
      </w:r>
    </w:p>
    <w:p w14:paraId="47F63A5E" w14:textId="4BF7DCD6" w:rsidR="00CF5131" w:rsidRDefault="00CF5131" w:rsidP="00CF5131">
      <w:pPr>
        <w:pStyle w:val="ListParagraph"/>
        <w:numPr>
          <w:ilvl w:val="0"/>
          <w:numId w:val="2"/>
        </w:numPr>
        <w:jc w:val="both"/>
        <w:rPr>
          <w:lang w:eastAsia="pt-BR"/>
        </w:rPr>
      </w:pPr>
      <w:r>
        <w:rPr>
          <w:lang w:eastAsia="pt-BR"/>
        </w:rPr>
        <w:t>Which markets have a high prevalence of beer venues?</w:t>
      </w:r>
    </w:p>
    <w:p w14:paraId="7EDFD195" w14:textId="1E420E84" w:rsidR="008D7D5E" w:rsidRDefault="008D7D5E" w:rsidP="00CF5131">
      <w:pPr>
        <w:pStyle w:val="ListParagraph"/>
        <w:numPr>
          <w:ilvl w:val="0"/>
          <w:numId w:val="2"/>
        </w:numPr>
        <w:jc w:val="both"/>
        <w:rPr>
          <w:lang w:eastAsia="pt-BR"/>
        </w:rPr>
      </w:pPr>
      <w:r>
        <w:rPr>
          <w:lang w:eastAsia="pt-BR"/>
        </w:rPr>
        <w:t>What are potential markets for opening beer venues?</w:t>
      </w:r>
    </w:p>
    <w:p w14:paraId="62CADCA3" w14:textId="1B7F46C3" w:rsidR="00402911" w:rsidRDefault="00402911" w:rsidP="00200A4B">
      <w:pPr>
        <w:rPr>
          <w:lang w:eastAsia="pt-BR"/>
        </w:rPr>
      </w:pPr>
    </w:p>
    <w:p w14:paraId="7CCA6FBE" w14:textId="0C0C9C6E" w:rsidR="00402911" w:rsidRPr="00D90C3B" w:rsidRDefault="00402911" w:rsidP="00D90C3B">
      <w:pPr>
        <w:pStyle w:val="Heading2"/>
      </w:pPr>
      <w:r w:rsidRPr="00D90C3B">
        <w:t>Data</w:t>
      </w:r>
    </w:p>
    <w:p w14:paraId="5AD9E673" w14:textId="746AB658" w:rsidR="00402911" w:rsidRDefault="00402911" w:rsidP="00402911">
      <w:pPr>
        <w:rPr>
          <w:lang w:eastAsia="pt-BR"/>
        </w:rPr>
      </w:pPr>
    </w:p>
    <w:p w14:paraId="3CE255BD" w14:textId="26660F2C" w:rsidR="00402911" w:rsidRDefault="00402911" w:rsidP="00D90C3B">
      <w:pPr>
        <w:jc w:val="both"/>
        <w:rPr>
          <w:lang w:eastAsia="pt-BR"/>
        </w:rPr>
      </w:pPr>
      <w:r>
        <w:rPr>
          <w:lang w:eastAsia="pt-BR"/>
        </w:rPr>
        <w:t xml:space="preserve">Two main sources of data are used in this project. The first is data regarding prevalence of beer venues in the US, Foursquare API will be used for this. Second, demographical data is needed to build a profile of the US neighborhoods. The source of this data will be the official United States Census API </w:t>
      </w:r>
      <w:sdt>
        <w:sdtPr>
          <w:rPr>
            <w:lang w:eastAsia="pt-BR"/>
          </w:rPr>
          <w:id w:val="-1214184905"/>
          <w:citation/>
        </w:sdtPr>
        <w:sdtContent>
          <w:r>
            <w:rPr>
              <w:lang w:eastAsia="pt-BR"/>
            </w:rPr>
            <w:fldChar w:fldCharType="begin"/>
          </w:r>
          <w:r>
            <w:rPr>
              <w:lang w:eastAsia="pt-BR"/>
            </w:rPr>
            <w:instrText xml:space="preserve"> CITATION Uni \l 1033 </w:instrText>
          </w:r>
          <w:r>
            <w:rPr>
              <w:lang w:eastAsia="pt-BR"/>
            </w:rPr>
            <w:fldChar w:fldCharType="separate"/>
          </w:r>
          <w:r w:rsidR="009B5F16">
            <w:rPr>
              <w:noProof/>
              <w:lang w:eastAsia="pt-BR"/>
            </w:rPr>
            <w:t>(2)</w:t>
          </w:r>
          <w:r>
            <w:rPr>
              <w:lang w:eastAsia="pt-BR"/>
            </w:rPr>
            <w:fldChar w:fldCharType="end"/>
          </w:r>
        </w:sdtContent>
      </w:sdt>
      <w:r>
        <w:rPr>
          <w:lang w:eastAsia="pt-BR"/>
        </w:rPr>
        <w:t>. Key data collected from these sources is presented in the table below:</w:t>
      </w:r>
    </w:p>
    <w:p w14:paraId="34E8CC4E" w14:textId="77777777" w:rsidR="00402911" w:rsidRDefault="00402911" w:rsidP="001B66F8">
      <w:pPr>
        <w:rPr>
          <w:lang w:eastAsia="pt-BR"/>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912"/>
      </w:tblGrid>
      <w:tr w:rsidR="007B1871" w14:paraId="3F83494E" w14:textId="77777777" w:rsidTr="001B66F8">
        <w:trPr>
          <w:cantSplit/>
          <w:jc w:val="center"/>
        </w:trPr>
        <w:tc>
          <w:tcPr>
            <w:tcW w:w="2970" w:type="dxa"/>
            <w:tcBorders>
              <w:bottom w:val="single" w:sz="4" w:space="0" w:color="auto"/>
            </w:tcBorders>
          </w:tcPr>
          <w:p w14:paraId="35DB8A47" w14:textId="4986FC6D" w:rsidR="007B1871" w:rsidRPr="007B1871" w:rsidRDefault="007B1871" w:rsidP="001B66F8">
            <w:pPr>
              <w:keepNext/>
              <w:rPr>
                <w:b/>
                <w:bCs/>
                <w:lang w:eastAsia="pt-BR"/>
              </w:rPr>
            </w:pPr>
            <w:r w:rsidRPr="007B1871">
              <w:rPr>
                <w:b/>
                <w:bCs/>
                <w:lang w:eastAsia="pt-BR"/>
              </w:rPr>
              <w:lastRenderedPageBreak/>
              <w:t>Data</w:t>
            </w:r>
            <w:r>
              <w:rPr>
                <w:b/>
                <w:bCs/>
                <w:lang w:eastAsia="pt-BR"/>
              </w:rPr>
              <w:t xml:space="preserve"> Needed</w:t>
            </w:r>
          </w:p>
        </w:tc>
        <w:tc>
          <w:tcPr>
            <w:tcW w:w="1912" w:type="dxa"/>
            <w:tcBorders>
              <w:bottom w:val="single" w:sz="4" w:space="0" w:color="auto"/>
            </w:tcBorders>
          </w:tcPr>
          <w:p w14:paraId="5E65FE63" w14:textId="072F769B" w:rsidR="007B1871" w:rsidRPr="007B1871" w:rsidRDefault="007B1871" w:rsidP="001B66F8">
            <w:pPr>
              <w:keepNext/>
              <w:rPr>
                <w:b/>
                <w:bCs/>
                <w:lang w:eastAsia="pt-BR"/>
              </w:rPr>
            </w:pPr>
            <w:r w:rsidRPr="007B1871">
              <w:rPr>
                <w:b/>
                <w:bCs/>
                <w:lang w:eastAsia="pt-BR"/>
              </w:rPr>
              <w:t>Source</w:t>
            </w:r>
          </w:p>
        </w:tc>
      </w:tr>
      <w:tr w:rsidR="007B1871" w14:paraId="1E7AFF55" w14:textId="77777777" w:rsidTr="001B66F8">
        <w:trPr>
          <w:cantSplit/>
          <w:jc w:val="center"/>
        </w:trPr>
        <w:tc>
          <w:tcPr>
            <w:tcW w:w="2970" w:type="dxa"/>
            <w:tcBorders>
              <w:top w:val="single" w:sz="4" w:space="0" w:color="auto"/>
            </w:tcBorders>
          </w:tcPr>
          <w:p w14:paraId="2AA00FC7" w14:textId="3E8108C2" w:rsidR="007B1871" w:rsidRDefault="007B1871" w:rsidP="001B66F8">
            <w:pPr>
              <w:keepNext/>
              <w:rPr>
                <w:lang w:eastAsia="pt-BR"/>
              </w:rPr>
            </w:pPr>
            <w:r>
              <w:rPr>
                <w:lang w:eastAsia="pt-BR"/>
              </w:rPr>
              <w:t>Total Population</w:t>
            </w:r>
          </w:p>
        </w:tc>
        <w:tc>
          <w:tcPr>
            <w:tcW w:w="1912" w:type="dxa"/>
            <w:tcBorders>
              <w:top w:val="single" w:sz="4" w:space="0" w:color="auto"/>
            </w:tcBorders>
          </w:tcPr>
          <w:p w14:paraId="01BC98BD" w14:textId="1CE13A94" w:rsidR="007B1871" w:rsidRDefault="007B1871" w:rsidP="001B66F8">
            <w:pPr>
              <w:keepNext/>
              <w:rPr>
                <w:lang w:eastAsia="pt-BR"/>
              </w:rPr>
            </w:pPr>
            <w:r>
              <w:rPr>
                <w:lang w:eastAsia="pt-BR"/>
              </w:rPr>
              <w:t>Census</w:t>
            </w:r>
          </w:p>
        </w:tc>
      </w:tr>
      <w:tr w:rsidR="007B1871" w14:paraId="5F7724FD" w14:textId="77777777" w:rsidTr="001B66F8">
        <w:trPr>
          <w:cantSplit/>
          <w:jc w:val="center"/>
        </w:trPr>
        <w:tc>
          <w:tcPr>
            <w:tcW w:w="2970" w:type="dxa"/>
          </w:tcPr>
          <w:p w14:paraId="6FA23119" w14:textId="45826BCB" w:rsidR="007B1871" w:rsidRDefault="007B1871" w:rsidP="001B66F8">
            <w:pPr>
              <w:keepNext/>
              <w:rPr>
                <w:lang w:eastAsia="pt-BR"/>
              </w:rPr>
            </w:pPr>
            <w:r>
              <w:rPr>
                <w:lang w:eastAsia="pt-BR"/>
              </w:rPr>
              <w:t>Age</w:t>
            </w:r>
          </w:p>
        </w:tc>
        <w:tc>
          <w:tcPr>
            <w:tcW w:w="1912" w:type="dxa"/>
          </w:tcPr>
          <w:p w14:paraId="102E81A5" w14:textId="7CC659BB" w:rsidR="007B1871" w:rsidRDefault="007B1871" w:rsidP="001B66F8">
            <w:pPr>
              <w:keepNext/>
              <w:rPr>
                <w:lang w:eastAsia="pt-BR"/>
              </w:rPr>
            </w:pPr>
            <w:r>
              <w:rPr>
                <w:lang w:eastAsia="pt-BR"/>
              </w:rPr>
              <w:t>Census</w:t>
            </w:r>
          </w:p>
        </w:tc>
      </w:tr>
      <w:tr w:rsidR="007B1871" w14:paraId="495AC663" w14:textId="77777777" w:rsidTr="001B66F8">
        <w:trPr>
          <w:cantSplit/>
          <w:jc w:val="center"/>
        </w:trPr>
        <w:tc>
          <w:tcPr>
            <w:tcW w:w="2970" w:type="dxa"/>
          </w:tcPr>
          <w:p w14:paraId="78D2F4BE" w14:textId="0D9C161B" w:rsidR="007B1871" w:rsidRDefault="007B1871" w:rsidP="001B66F8">
            <w:pPr>
              <w:keepNext/>
              <w:rPr>
                <w:lang w:eastAsia="pt-BR"/>
              </w:rPr>
            </w:pPr>
            <w:r>
              <w:rPr>
                <w:lang w:eastAsia="pt-BR"/>
              </w:rPr>
              <w:t>Sex</w:t>
            </w:r>
          </w:p>
        </w:tc>
        <w:tc>
          <w:tcPr>
            <w:tcW w:w="1912" w:type="dxa"/>
          </w:tcPr>
          <w:p w14:paraId="4E4200F1" w14:textId="548AC934" w:rsidR="007B1871" w:rsidRDefault="007B1871" w:rsidP="001B66F8">
            <w:pPr>
              <w:keepNext/>
              <w:rPr>
                <w:lang w:eastAsia="pt-BR"/>
              </w:rPr>
            </w:pPr>
            <w:r>
              <w:rPr>
                <w:lang w:eastAsia="pt-BR"/>
              </w:rPr>
              <w:t>Census</w:t>
            </w:r>
          </w:p>
        </w:tc>
      </w:tr>
      <w:tr w:rsidR="007B1871" w14:paraId="506EBACE" w14:textId="77777777" w:rsidTr="001B66F8">
        <w:trPr>
          <w:cantSplit/>
          <w:jc w:val="center"/>
        </w:trPr>
        <w:tc>
          <w:tcPr>
            <w:tcW w:w="2970" w:type="dxa"/>
          </w:tcPr>
          <w:p w14:paraId="475CCCF7" w14:textId="68341A8A" w:rsidR="007B1871" w:rsidRDefault="007B1871" w:rsidP="001B66F8">
            <w:pPr>
              <w:keepNext/>
              <w:rPr>
                <w:lang w:eastAsia="pt-BR"/>
              </w:rPr>
            </w:pPr>
            <w:r>
              <w:rPr>
                <w:lang w:eastAsia="pt-BR"/>
              </w:rPr>
              <w:t>Venue Data – Beer category</w:t>
            </w:r>
          </w:p>
        </w:tc>
        <w:tc>
          <w:tcPr>
            <w:tcW w:w="1912" w:type="dxa"/>
          </w:tcPr>
          <w:p w14:paraId="4E2FED81" w14:textId="430F3B2C" w:rsidR="007B1871" w:rsidRDefault="007B1871" w:rsidP="001B66F8">
            <w:pPr>
              <w:keepNext/>
              <w:rPr>
                <w:lang w:eastAsia="pt-BR"/>
              </w:rPr>
            </w:pPr>
            <w:r>
              <w:rPr>
                <w:lang w:eastAsia="pt-BR"/>
              </w:rPr>
              <w:t>Foursquare</w:t>
            </w:r>
          </w:p>
        </w:tc>
      </w:tr>
      <w:tr w:rsidR="007B1871" w14:paraId="696226BF" w14:textId="77777777" w:rsidTr="001B66F8">
        <w:trPr>
          <w:cantSplit/>
          <w:jc w:val="center"/>
        </w:trPr>
        <w:tc>
          <w:tcPr>
            <w:tcW w:w="2970" w:type="dxa"/>
          </w:tcPr>
          <w:p w14:paraId="3A7990B1" w14:textId="3A346479" w:rsidR="007B1871" w:rsidRDefault="007B1871" w:rsidP="001B66F8">
            <w:pPr>
              <w:keepNext/>
              <w:rPr>
                <w:lang w:eastAsia="pt-BR"/>
              </w:rPr>
            </w:pPr>
            <w:r>
              <w:rPr>
                <w:lang w:eastAsia="pt-BR"/>
              </w:rPr>
              <w:t>Educational Attainment</w:t>
            </w:r>
          </w:p>
        </w:tc>
        <w:tc>
          <w:tcPr>
            <w:tcW w:w="1912" w:type="dxa"/>
          </w:tcPr>
          <w:p w14:paraId="6A50A0CB" w14:textId="637A10BF" w:rsidR="007B1871" w:rsidRDefault="007B1871" w:rsidP="001B66F8">
            <w:pPr>
              <w:keepNext/>
              <w:rPr>
                <w:lang w:eastAsia="pt-BR"/>
              </w:rPr>
            </w:pPr>
            <w:r>
              <w:rPr>
                <w:lang w:eastAsia="pt-BR"/>
              </w:rPr>
              <w:t>Census</w:t>
            </w:r>
          </w:p>
        </w:tc>
      </w:tr>
      <w:tr w:rsidR="007B1871" w14:paraId="26931A92" w14:textId="77777777" w:rsidTr="001B66F8">
        <w:trPr>
          <w:cantSplit/>
          <w:jc w:val="center"/>
        </w:trPr>
        <w:tc>
          <w:tcPr>
            <w:tcW w:w="2970" w:type="dxa"/>
          </w:tcPr>
          <w:p w14:paraId="341F63CC" w14:textId="2D031F08" w:rsidR="007B1871" w:rsidRDefault="007B1871" w:rsidP="001B66F8">
            <w:pPr>
              <w:keepNext/>
              <w:rPr>
                <w:lang w:eastAsia="pt-BR"/>
              </w:rPr>
            </w:pPr>
            <w:r>
              <w:rPr>
                <w:lang w:eastAsia="pt-BR"/>
              </w:rPr>
              <w:t>Income level</w:t>
            </w:r>
          </w:p>
        </w:tc>
        <w:tc>
          <w:tcPr>
            <w:tcW w:w="1912" w:type="dxa"/>
          </w:tcPr>
          <w:p w14:paraId="3344486D" w14:textId="66E3B978" w:rsidR="007B1871" w:rsidRDefault="007B1871" w:rsidP="001B66F8">
            <w:pPr>
              <w:keepNext/>
              <w:rPr>
                <w:lang w:eastAsia="pt-BR"/>
              </w:rPr>
            </w:pPr>
            <w:r>
              <w:rPr>
                <w:lang w:eastAsia="pt-BR"/>
              </w:rPr>
              <w:t>Census</w:t>
            </w:r>
          </w:p>
        </w:tc>
      </w:tr>
      <w:tr w:rsidR="007B1871" w14:paraId="03A1FFD6" w14:textId="77777777" w:rsidTr="001B66F8">
        <w:trPr>
          <w:cantSplit/>
          <w:jc w:val="center"/>
        </w:trPr>
        <w:tc>
          <w:tcPr>
            <w:tcW w:w="2970" w:type="dxa"/>
          </w:tcPr>
          <w:p w14:paraId="7E317817" w14:textId="313CAC86" w:rsidR="007B1871" w:rsidRDefault="007B1871" w:rsidP="001B66F8">
            <w:pPr>
              <w:keepNext/>
              <w:rPr>
                <w:lang w:eastAsia="pt-BR"/>
              </w:rPr>
            </w:pPr>
            <w:r>
              <w:rPr>
                <w:lang w:eastAsia="pt-BR"/>
              </w:rPr>
              <w:t>Other demographical data</w:t>
            </w:r>
          </w:p>
        </w:tc>
        <w:tc>
          <w:tcPr>
            <w:tcW w:w="1912" w:type="dxa"/>
          </w:tcPr>
          <w:p w14:paraId="4AD90BAE" w14:textId="012DC7C2" w:rsidR="007B1871" w:rsidRDefault="007B1871" w:rsidP="001B66F8">
            <w:pPr>
              <w:keepNext/>
              <w:rPr>
                <w:lang w:eastAsia="pt-BR"/>
              </w:rPr>
            </w:pPr>
            <w:r>
              <w:rPr>
                <w:lang w:eastAsia="pt-BR"/>
              </w:rPr>
              <w:t>Census</w:t>
            </w:r>
          </w:p>
        </w:tc>
      </w:tr>
    </w:tbl>
    <w:p w14:paraId="6D2B30CB" w14:textId="77777777" w:rsidR="00402911" w:rsidRPr="00402911" w:rsidRDefault="00402911" w:rsidP="00402911">
      <w:pPr>
        <w:rPr>
          <w:lang w:eastAsia="pt-BR"/>
        </w:rPr>
      </w:pPr>
    </w:p>
    <w:p w14:paraId="281EEA27" w14:textId="590D4D60" w:rsidR="00402911" w:rsidRDefault="00402911" w:rsidP="00D90C3B">
      <w:pPr>
        <w:jc w:val="both"/>
        <w:rPr>
          <w:lang w:eastAsia="pt-BR"/>
        </w:rPr>
      </w:pPr>
      <w:r>
        <w:rPr>
          <w:lang w:eastAsia="pt-BR"/>
        </w:rPr>
        <w:t>It is important to note all data</w:t>
      </w:r>
      <w:r w:rsidR="007B1871">
        <w:rPr>
          <w:lang w:eastAsia="pt-BR"/>
        </w:rPr>
        <w:t xml:space="preserve"> </w:t>
      </w:r>
      <w:r>
        <w:rPr>
          <w:lang w:eastAsia="pt-BR"/>
        </w:rPr>
        <w:t xml:space="preserve">needed at zip code tabulation area level. Also, percent estimates relative to total population/number of observations for a given zip code are </w:t>
      </w:r>
      <w:r w:rsidR="007B1871">
        <w:rPr>
          <w:lang w:eastAsia="pt-BR"/>
        </w:rPr>
        <w:t>always preferred, as they will provide a means to compare neighborhoods with different population sizes.</w:t>
      </w:r>
    </w:p>
    <w:p w14:paraId="1E8DF672" w14:textId="77777777" w:rsidR="00402911" w:rsidRPr="00200A4B" w:rsidRDefault="00402911" w:rsidP="00200A4B">
      <w:pPr>
        <w:rPr>
          <w:lang w:eastAsia="pt-BR"/>
        </w:rPr>
      </w:pPr>
    </w:p>
    <w:p w14:paraId="7D0392B3" w14:textId="0D1FCFE5" w:rsidR="00200A4B" w:rsidRPr="00200A4B" w:rsidRDefault="00200A4B" w:rsidP="00200A4B"/>
    <w:p w14:paraId="18774934" w14:textId="33400E88" w:rsidR="00200A4B" w:rsidRPr="00200A4B" w:rsidRDefault="00200A4B" w:rsidP="00200A4B"/>
    <w:p w14:paraId="3B7A4B8D" w14:textId="5DB13963" w:rsidR="00200A4B" w:rsidRPr="00200A4B" w:rsidRDefault="00200A4B" w:rsidP="00200A4B"/>
    <w:p w14:paraId="72F36AA5" w14:textId="7F4F3A6B" w:rsidR="00200A4B" w:rsidRPr="00200A4B" w:rsidRDefault="00200A4B" w:rsidP="00200A4B"/>
    <w:p w14:paraId="1D810C17" w14:textId="7AB99383" w:rsidR="00200A4B" w:rsidRPr="00200A4B" w:rsidRDefault="00200A4B" w:rsidP="00200A4B"/>
    <w:p w14:paraId="3C5CFB88" w14:textId="562A5C75" w:rsidR="00200A4B" w:rsidRPr="00200A4B" w:rsidRDefault="00200A4B" w:rsidP="00200A4B"/>
    <w:p w14:paraId="3229DC5B" w14:textId="0AF75F76" w:rsidR="00200A4B" w:rsidRPr="00200A4B" w:rsidRDefault="00200A4B" w:rsidP="00200A4B"/>
    <w:p w14:paraId="4F15E185" w14:textId="1579993D" w:rsidR="00200A4B" w:rsidRPr="00200A4B" w:rsidRDefault="00200A4B" w:rsidP="00200A4B"/>
    <w:p w14:paraId="74F87E8A" w14:textId="7C1B7BF9" w:rsidR="00200A4B" w:rsidRPr="00200A4B" w:rsidRDefault="00200A4B" w:rsidP="00200A4B"/>
    <w:p w14:paraId="45700BCC" w14:textId="76817330" w:rsidR="00200A4B" w:rsidRPr="00200A4B" w:rsidRDefault="00200A4B" w:rsidP="00200A4B"/>
    <w:p w14:paraId="5F2CEFB9" w14:textId="59F56CA3" w:rsidR="00200A4B" w:rsidRPr="00200A4B" w:rsidRDefault="00200A4B" w:rsidP="00200A4B"/>
    <w:p w14:paraId="3755A0A7" w14:textId="6B00EEAC" w:rsidR="00200A4B" w:rsidRPr="00200A4B" w:rsidRDefault="00200A4B" w:rsidP="00200A4B"/>
    <w:p w14:paraId="1DD12BAE" w14:textId="7C857AF7" w:rsidR="00200A4B" w:rsidRPr="00200A4B" w:rsidRDefault="00200A4B" w:rsidP="00200A4B"/>
    <w:p w14:paraId="27CB3DE2" w14:textId="3B11CD29" w:rsidR="00200A4B" w:rsidRPr="00200A4B" w:rsidRDefault="00200A4B" w:rsidP="00200A4B"/>
    <w:p w14:paraId="34F8715E" w14:textId="3A21E3F6" w:rsidR="00200A4B" w:rsidRPr="00200A4B" w:rsidRDefault="00200A4B" w:rsidP="00200A4B"/>
    <w:p w14:paraId="413332C7" w14:textId="642FD109" w:rsidR="00200A4B" w:rsidRPr="00200A4B" w:rsidRDefault="00200A4B" w:rsidP="00200A4B"/>
    <w:p w14:paraId="197330D2" w14:textId="7324A700" w:rsidR="00200A4B" w:rsidRPr="00200A4B" w:rsidRDefault="00200A4B" w:rsidP="00200A4B"/>
    <w:p w14:paraId="6027AC79" w14:textId="6D10995D" w:rsidR="00200A4B" w:rsidRPr="00200A4B" w:rsidRDefault="00200A4B" w:rsidP="00200A4B"/>
    <w:p w14:paraId="30D864D8" w14:textId="78A18736" w:rsidR="00200A4B" w:rsidRPr="00200A4B" w:rsidRDefault="00200A4B" w:rsidP="00200A4B"/>
    <w:p w14:paraId="67CD0D2A" w14:textId="407EE97C" w:rsidR="00200A4B" w:rsidRPr="00200A4B" w:rsidRDefault="00200A4B" w:rsidP="00200A4B"/>
    <w:p w14:paraId="5FD02318" w14:textId="4EDF42E2" w:rsidR="00200A4B" w:rsidRPr="00200A4B" w:rsidRDefault="00200A4B" w:rsidP="00200A4B"/>
    <w:p w14:paraId="6615B8E8" w14:textId="6A639031" w:rsidR="00200A4B" w:rsidRPr="00200A4B" w:rsidRDefault="00200A4B" w:rsidP="00200A4B"/>
    <w:p w14:paraId="089FA7EF" w14:textId="6FFA2029" w:rsidR="00200A4B" w:rsidRPr="00200A4B" w:rsidRDefault="00200A4B" w:rsidP="00200A4B"/>
    <w:p w14:paraId="69B0C8C4" w14:textId="3E12FB6B" w:rsidR="00200A4B" w:rsidRPr="00200A4B" w:rsidRDefault="00200A4B" w:rsidP="00200A4B"/>
    <w:p w14:paraId="79440724" w14:textId="41D2F706" w:rsidR="00200A4B" w:rsidRPr="00200A4B" w:rsidRDefault="00200A4B" w:rsidP="00200A4B"/>
    <w:p w14:paraId="555B8043" w14:textId="32547770" w:rsidR="00200A4B" w:rsidRPr="00200A4B" w:rsidRDefault="00200A4B" w:rsidP="00200A4B"/>
    <w:p w14:paraId="6D76C925" w14:textId="010F78E5" w:rsidR="00200A4B" w:rsidRPr="00200A4B" w:rsidRDefault="00200A4B" w:rsidP="00200A4B"/>
    <w:p w14:paraId="499DA4C2" w14:textId="3FC68FD4" w:rsidR="00200A4B" w:rsidRPr="00200A4B" w:rsidRDefault="00200A4B" w:rsidP="00200A4B"/>
    <w:p w14:paraId="3F8885CB" w14:textId="7381850D" w:rsidR="00200A4B" w:rsidRPr="00200A4B" w:rsidRDefault="00200A4B" w:rsidP="00200A4B"/>
    <w:p w14:paraId="4ADA286D" w14:textId="2E4DBC3C" w:rsidR="00200A4B" w:rsidRPr="00200A4B" w:rsidRDefault="00200A4B" w:rsidP="00200A4B"/>
    <w:sdt>
      <w:sdtPr>
        <w:id w:val="-1874074144"/>
        <w:docPartObj>
          <w:docPartGallery w:val="Bibliographies"/>
          <w:docPartUnique/>
        </w:docPartObj>
      </w:sdtPr>
      <w:sdtEndPr>
        <w:rPr>
          <w:rFonts w:asciiTheme="minorHAnsi" w:eastAsiaTheme="minorHAnsi" w:hAnsiTheme="minorHAnsi" w:cstheme="minorBidi"/>
          <w:color w:val="auto"/>
          <w:sz w:val="24"/>
          <w:szCs w:val="24"/>
          <w:lang w:val="en-US" w:eastAsia="en-US"/>
        </w:rPr>
      </w:sdtEndPr>
      <w:sdtContent>
        <w:p w14:paraId="20577962" w14:textId="05B9E8D5" w:rsidR="00200A4B" w:rsidRPr="00200A4B" w:rsidRDefault="00200A4B">
          <w:pPr>
            <w:pStyle w:val="Heading1"/>
            <w:rPr>
              <w:lang w:val="en-US"/>
            </w:rPr>
          </w:pPr>
          <w:r w:rsidRPr="00200A4B">
            <w:rPr>
              <w:lang w:val="en-US"/>
            </w:rPr>
            <w:t>Bibliography</w:t>
          </w:r>
        </w:p>
        <w:sdt>
          <w:sdtPr>
            <w:id w:val="111145805"/>
            <w:bibliography/>
          </w:sdtPr>
          <w:sdtContent>
            <w:p w14:paraId="1C87C301" w14:textId="77777777" w:rsidR="009B5F16" w:rsidRDefault="00200A4B" w:rsidP="009B5F16">
              <w:pPr>
                <w:pStyle w:val="Bibliography"/>
                <w:rPr>
                  <w:noProof/>
                </w:rPr>
              </w:pPr>
              <w:r>
                <w:fldChar w:fldCharType="begin"/>
              </w:r>
              <w:r>
                <w:instrText xml:space="preserve"> BIBLIOGRAPHY </w:instrText>
              </w:r>
              <w:r>
                <w:fldChar w:fldCharType="separate"/>
              </w:r>
              <w:r w:rsidR="009B5F16">
                <w:rPr>
                  <w:noProof/>
                </w:rPr>
                <w:t xml:space="preserve">1. </w:t>
              </w:r>
              <w:r w:rsidR="009B5F16">
                <w:rPr>
                  <w:b/>
                  <w:bCs/>
                  <w:noProof/>
                </w:rPr>
                <w:t>Doering, Christopher.</w:t>
              </w:r>
              <w:r w:rsidR="009B5F16">
                <w:rPr>
                  <w:noProof/>
                </w:rPr>
                <w:t xml:space="preserve"> Tapped out? Brewpubs, taprooms inundate beer scene as brewers aim to stand out. </w:t>
              </w:r>
              <w:r w:rsidR="009B5F16">
                <w:rPr>
                  <w:i/>
                  <w:iCs/>
                  <w:noProof/>
                </w:rPr>
                <w:t xml:space="preserve">Food Dive. </w:t>
              </w:r>
              <w:r w:rsidR="009B5F16">
                <w:rPr>
                  <w:noProof/>
                </w:rPr>
                <w:t>[Online] Jan 2019. https://www.fooddive.com/news/tapped-out-brewpubs-taprooms-inundate-beer-scene-as-brewers-aim-to-stand/544103/.</w:t>
              </w:r>
            </w:p>
            <w:p w14:paraId="1F50B82F" w14:textId="77777777" w:rsidR="009B5F16" w:rsidRDefault="009B5F16" w:rsidP="009B5F16">
              <w:pPr>
                <w:pStyle w:val="Bibliography"/>
                <w:rPr>
                  <w:noProof/>
                </w:rPr>
              </w:pPr>
              <w:r>
                <w:rPr>
                  <w:noProof/>
                </w:rPr>
                <w:t xml:space="preserve">2. </w:t>
              </w:r>
              <w:r>
                <w:rPr>
                  <w:b/>
                  <w:bCs/>
                  <w:noProof/>
                </w:rPr>
                <w:t>Bureau, United States Census.</w:t>
              </w:r>
              <w:r>
                <w:rPr>
                  <w:noProof/>
                </w:rPr>
                <w:t xml:space="preserve"> Developers. </w:t>
              </w:r>
              <w:r>
                <w:rPr>
                  <w:i/>
                  <w:iCs/>
                  <w:noProof/>
                </w:rPr>
                <w:t xml:space="preserve">United States Census Bureau. </w:t>
              </w:r>
              <w:r>
                <w:rPr>
                  <w:noProof/>
                </w:rPr>
                <w:t>[Online] https://www.census.gov/developers/.</w:t>
              </w:r>
            </w:p>
            <w:p w14:paraId="56D8767F" w14:textId="53D0A0E9" w:rsidR="00200A4B" w:rsidRDefault="00200A4B" w:rsidP="009B5F16">
              <w:r>
                <w:rPr>
                  <w:b/>
                  <w:bCs/>
                  <w:noProof/>
                </w:rPr>
                <w:fldChar w:fldCharType="end"/>
              </w:r>
            </w:p>
          </w:sdtContent>
        </w:sdt>
      </w:sdtContent>
    </w:sdt>
    <w:p w14:paraId="773B0D14" w14:textId="2F71BCD1" w:rsidR="00200A4B" w:rsidRPr="00200A4B" w:rsidRDefault="00200A4B" w:rsidP="00200A4B"/>
    <w:p w14:paraId="39655DD7" w14:textId="00CDD8A0" w:rsidR="00200A4B" w:rsidRPr="00200A4B" w:rsidRDefault="00200A4B" w:rsidP="00200A4B"/>
    <w:p w14:paraId="123F6F78" w14:textId="46122F2F" w:rsidR="00200A4B" w:rsidRPr="00200A4B" w:rsidRDefault="00200A4B" w:rsidP="009B5F16"/>
    <w:sectPr w:rsidR="00200A4B" w:rsidRPr="00200A4B" w:rsidSect="007F76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EF7D8" w14:textId="77777777" w:rsidR="00FE1F90" w:rsidRDefault="00FE1F90" w:rsidP="00200A4B">
      <w:r>
        <w:separator/>
      </w:r>
    </w:p>
  </w:endnote>
  <w:endnote w:type="continuationSeparator" w:id="0">
    <w:p w14:paraId="36463D23" w14:textId="77777777" w:rsidR="00FE1F90" w:rsidRDefault="00FE1F90" w:rsidP="00200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26C1B" w14:textId="77777777" w:rsidR="00FE1F90" w:rsidRDefault="00FE1F90" w:rsidP="00200A4B">
      <w:r>
        <w:separator/>
      </w:r>
    </w:p>
  </w:footnote>
  <w:footnote w:type="continuationSeparator" w:id="0">
    <w:p w14:paraId="6C1ACEFE" w14:textId="77777777" w:rsidR="00FE1F90" w:rsidRDefault="00FE1F90" w:rsidP="00200A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24FB6"/>
    <w:multiLevelType w:val="hybridMultilevel"/>
    <w:tmpl w:val="7C0448A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49912A1"/>
    <w:multiLevelType w:val="hybridMultilevel"/>
    <w:tmpl w:val="AA82B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A4B"/>
    <w:rsid w:val="00052673"/>
    <w:rsid w:val="00056C30"/>
    <w:rsid w:val="00067287"/>
    <w:rsid w:val="000708F0"/>
    <w:rsid w:val="00083DDD"/>
    <w:rsid w:val="00097419"/>
    <w:rsid w:val="000B3757"/>
    <w:rsid w:val="00104081"/>
    <w:rsid w:val="00111156"/>
    <w:rsid w:val="00121B7F"/>
    <w:rsid w:val="00134F3B"/>
    <w:rsid w:val="00144763"/>
    <w:rsid w:val="001564BC"/>
    <w:rsid w:val="001A1455"/>
    <w:rsid w:val="001B3869"/>
    <w:rsid w:val="001B66F8"/>
    <w:rsid w:val="00200A4B"/>
    <w:rsid w:val="0021207D"/>
    <w:rsid w:val="002259CA"/>
    <w:rsid w:val="00243A73"/>
    <w:rsid w:val="00265F1C"/>
    <w:rsid w:val="00277F3F"/>
    <w:rsid w:val="002C5D91"/>
    <w:rsid w:val="002E65BC"/>
    <w:rsid w:val="002F717D"/>
    <w:rsid w:val="00304D6F"/>
    <w:rsid w:val="003948FD"/>
    <w:rsid w:val="003A1F8A"/>
    <w:rsid w:val="003C775F"/>
    <w:rsid w:val="003D4426"/>
    <w:rsid w:val="003E2EA5"/>
    <w:rsid w:val="003E4C1A"/>
    <w:rsid w:val="003F7AA0"/>
    <w:rsid w:val="00402911"/>
    <w:rsid w:val="0044691D"/>
    <w:rsid w:val="00447437"/>
    <w:rsid w:val="00481588"/>
    <w:rsid w:val="004C4D50"/>
    <w:rsid w:val="004F2082"/>
    <w:rsid w:val="004F3980"/>
    <w:rsid w:val="00503C53"/>
    <w:rsid w:val="005249CF"/>
    <w:rsid w:val="00540AC6"/>
    <w:rsid w:val="00542110"/>
    <w:rsid w:val="00550011"/>
    <w:rsid w:val="0055041D"/>
    <w:rsid w:val="0055621E"/>
    <w:rsid w:val="005E2CE2"/>
    <w:rsid w:val="00637417"/>
    <w:rsid w:val="00656902"/>
    <w:rsid w:val="006C281B"/>
    <w:rsid w:val="0071738C"/>
    <w:rsid w:val="00740747"/>
    <w:rsid w:val="00741061"/>
    <w:rsid w:val="00782488"/>
    <w:rsid w:val="007B1871"/>
    <w:rsid w:val="007B5480"/>
    <w:rsid w:val="007C077D"/>
    <w:rsid w:val="007D1E05"/>
    <w:rsid w:val="007F76A0"/>
    <w:rsid w:val="00875C69"/>
    <w:rsid w:val="008D7D5E"/>
    <w:rsid w:val="008F4283"/>
    <w:rsid w:val="00920187"/>
    <w:rsid w:val="009321C0"/>
    <w:rsid w:val="00944209"/>
    <w:rsid w:val="009509E7"/>
    <w:rsid w:val="00962CEC"/>
    <w:rsid w:val="00995ED2"/>
    <w:rsid w:val="009A073B"/>
    <w:rsid w:val="009B5F16"/>
    <w:rsid w:val="009C6A7B"/>
    <w:rsid w:val="009D007E"/>
    <w:rsid w:val="009E4A84"/>
    <w:rsid w:val="00A22F02"/>
    <w:rsid w:val="00A23386"/>
    <w:rsid w:val="00A84069"/>
    <w:rsid w:val="00AA2667"/>
    <w:rsid w:val="00B74B28"/>
    <w:rsid w:val="00B81BA6"/>
    <w:rsid w:val="00B830E7"/>
    <w:rsid w:val="00B9407A"/>
    <w:rsid w:val="00C12F0A"/>
    <w:rsid w:val="00C25AA6"/>
    <w:rsid w:val="00C6786C"/>
    <w:rsid w:val="00CB460F"/>
    <w:rsid w:val="00CD0504"/>
    <w:rsid w:val="00CD3D0C"/>
    <w:rsid w:val="00CF5131"/>
    <w:rsid w:val="00D02D7A"/>
    <w:rsid w:val="00D06155"/>
    <w:rsid w:val="00D60BAE"/>
    <w:rsid w:val="00D643B8"/>
    <w:rsid w:val="00D645EB"/>
    <w:rsid w:val="00D76DF8"/>
    <w:rsid w:val="00D81283"/>
    <w:rsid w:val="00D86290"/>
    <w:rsid w:val="00D90C3B"/>
    <w:rsid w:val="00D9335C"/>
    <w:rsid w:val="00DE56C1"/>
    <w:rsid w:val="00E05374"/>
    <w:rsid w:val="00E068A1"/>
    <w:rsid w:val="00E068EF"/>
    <w:rsid w:val="00E1025B"/>
    <w:rsid w:val="00E54645"/>
    <w:rsid w:val="00E704E9"/>
    <w:rsid w:val="00E768C9"/>
    <w:rsid w:val="00E918EC"/>
    <w:rsid w:val="00E92852"/>
    <w:rsid w:val="00EB41A6"/>
    <w:rsid w:val="00EF2FC1"/>
    <w:rsid w:val="00F054D9"/>
    <w:rsid w:val="00F37DDF"/>
    <w:rsid w:val="00F50ADC"/>
    <w:rsid w:val="00F61FB8"/>
    <w:rsid w:val="00F63417"/>
    <w:rsid w:val="00FA6A57"/>
    <w:rsid w:val="00FE1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B083EA"/>
  <w15:chartTrackingRefBased/>
  <w15:docId w15:val="{24A0AE39-6FB4-BA4D-8BB7-B539FE07D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TOC"/>
    <w:basedOn w:val="TOC2"/>
    <w:next w:val="Normal"/>
    <w:link w:val="Heading1Char"/>
    <w:autoRedefine/>
    <w:uiPriority w:val="9"/>
    <w:qFormat/>
    <w:rsid w:val="00200A4B"/>
    <w:pPr>
      <w:keepNext/>
      <w:spacing w:before="240" w:after="240"/>
      <w:ind w:left="0"/>
      <w:jc w:val="both"/>
      <w:outlineLvl w:val="0"/>
    </w:pPr>
    <w:rPr>
      <w:rFonts w:ascii="Times" w:eastAsia="Times New Roman" w:hAnsi="Times"/>
      <w:b w:val="0"/>
      <w:bCs w:val="0"/>
      <w:color w:val="000000" w:themeColor="text1"/>
      <w:sz w:val="32"/>
      <w:lang w:val="pt-BR" w:eastAsia="pt-BR"/>
    </w:rPr>
  </w:style>
  <w:style w:type="paragraph" w:styleId="Heading2">
    <w:name w:val="heading 2"/>
    <w:basedOn w:val="Normal"/>
    <w:next w:val="Normal"/>
    <w:link w:val="Heading2Char"/>
    <w:uiPriority w:val="9"/>
    <w:unhideWhenUsed/>
    <w:qFormat/>
    <w:rsid w:val="00D90C3B"/>
    <w:pPr>
      <w:keepNext/>
      <w:keepLines/>
      <w:spacing w:before="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C Char"/>
    <w:basedOn w:val="DefaultParagraphFont"/>
    <w:link w:val="Heading1"/>
    <w:uiPriority w:val="9"/>
    <w:rsid w:val="00200A4B"/>
    <w:rPr>
      <w:rFonts w:ascii="Times" w:eastAsia="Times New Roman" w:hAnsi="Times" w:cstheme="minorHAnsi"/>
      <w:color w:val="000000" w:themeColor="text1"/>
      <w:sz w:val="32"/>
      <w:szCs w:val="22"/>
      <w:lang w:val="pt-BR" w:eastAsia="pt-BR"/>
    </w:rPr>
  </w:style>
  <w:style w:type="paragraph" w:styleId="TOC2">
    <w:name w:val="toc 2"/>
    <w:basedOn w:val="Normal"/>
    <w:next w:val="Normal"/>
    <w:autoRedefine/>
    <w:uiPriority w:val="39"/>
    <w:semiHidden/>
    <w:unhideWhenUsed/>
    <w:rsid w:val="00304D6F"/>
    <w:pPr>
      <w:spacing w:before="120"/>
      <w:ind w:left="240"/>
    </w:pPr>
    <w:rPr>
      <w:rFonts w:cstheme="minorHAnsi"/>
      <w:b/>
      <w:bCs/>
      <w:sz w:val="22"/>
      <w:szCs w:val="22"/>
    </w:rPr>
  </w:style>
  <w:style w:type="paragraph" w:styleId="Title">
    <w:name w:val="Title"/>
    <w:basedOn w:val="Normal"/>
    <w:next w:val="Normal"/>
    <w:link w:val="TitleChar"/>
    <w:uiPriority w:val="10"/>
    <w:qFormat/>
    <w:rsid w:val="00200A4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A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A4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00A4B"/>
    <w:rPr>
      <w:rFonts w:eastAsiaTheme="minorEastAsia"/>
      <w:color w:val="5A5A5A" w:themeColor="text1" w:themeTint="A5"/>
      <w:spacing w:val="15"/>
      <w:sz w:val="22"/>
      <w:szCs w:val="22"/>
    </w:rPr>
  </w:style>
  <w:style w:type="paragraph" w:styleId="ListParagraph">
    <w:name w:val="List Paragraph"/>
    <w:basedOn w:val="Normal"/>
    <w:uiPriority w:val="34"/>
    <w:qFormat/>
    <w:rsid w:val="00200A4B"/>
    <w:pPr>
      <w:ind w:left="720"/>
      <w:contextualSpacing/>
    </w:pPr>
  </w:style>
  <w:style w:type="paragraph" w:styleId="TOCHeading">
    <w:name w:val="TOC Heading"/>
    <w:basedOn w:val="Heading1"/>
    <w:next w:val="Normal"/>
    <w:uiPriority w:val="39"/>
    <w:unhideWhenUsed/>
    <w:qFormat/>
    <w:rsid w:val="00200A4B"/>
    <w:pPr>
      <w:keepLines/>
      <w:spacing w:before="480" w:after="0" w:line="276" w:lineRule="auto"/>
      <w:jc w:val="left"/>
      <w:outlineLvl w:val="9"/>
    </w:pPr>
    <w:rPr>
      <w:rFonts w:asciiTheme="majorHAnsi" w:eastAsiaTheme="majorEastAsia" w:hAnsiTheme="majorHAnsi" w:cstheme="majorBidi"/>
      <w:color w:val="2F5496" w:themeColor="accent1" w:themeShade="BF"/>
      <w:sz w:val="28"/>
      <w:szCs w:val="28"/>
      <w:lang w:val="en-US" w:eastAsia="en-US"/>
    </w:rPr>
  </w:style>
  <w:style w:type="paragraph" w:styleId="TOC1">
    <w:name w:val="toc 1"/>
    <w:basedOn w:val="Normal"/>
    <w:next w:val="Normal"/>
    <w:autoRedefine/>
    <w:uiPriority w:val="39"/>
    <w:semiHidden/>
    <w:unhideWhenUsed/>
    <w:rsid w:val="00200A4B"/>
    <w:pPr>
      <w:spacing w:before="120"/>
    </w:pPr>
    <w:rPr>
      <w:rFonts w:cstheme="minorHAnsi"/>
      <w:b/>
      <w:bCs/>
      <w:i/>
      <w:iCs/>
    </w:rPr>
  </w:style>
  <w:style w:type="paragraph" w:styleId="TOC3">
    <w:name w:val="toc 3"/>
    <w:basedOn w:val="Normal"/>
    <w:next w:val="Normal"/>
    <w:autoRedefine/>
    <w:uiPriority w:val="39"/>
    <w:semiHidden/>
    <w:unhideWhenUsed/>
    <w:rsid w:val="00200A4B"/>
    <w:pPr>
      <w:ind w:left="480"/>
    </w:pPr>
    <w:rPr>
      <w:rFonts w:cstheme="minorHAnsi"/>
      <w:sz w:val="20"/>
      <w:szCs w:val="20"/>
    </w:rPr>
  </w:style>
  <w:style w:type="paragraph" w:styleId="TOC4">
    <w:name w:val="toc 4"/>
    <w:basedOn w:val="Normal"/>
    <w:next w:val="Normal"/>
    <w:autoRedefine/>
    <w:uiPriority w:val="39"/>
    <w:semiHidden/>
    <w:unhideWhenUsed/>
    <w:rsid w:val="00200A4B"/>
    <w:pPr>
      <w:ind w:left="720"/>
    </w:pPr>
    <w:rPr>
      <w:rFonts w:cstheme="minorHAnsi"/>
      <w:sz w:val="20"/>
      <w:szCs w:val="20"/>
    </w:rPr>
  </w:style>
  <w:style w:type="paragraph" w:styleId="TOC5">
    <w:name w:val="toc 5"/>
    <w:basedOn w:val="Normal"/>
    <w:next w:val="Normal"/>
    <w:autoRedefine/>
    <w:uiPriority w:val="39"/>
    <w:semiHidden/>
    <w:unhideWhenUsed/>
    <w:rsid w:val="00200A4B"/>
    <w:pPr>
      <w:ind w:left="960"/>
    </w:pPr>
    <w:rPr>
      <w:rFonts w:cstheme="minorHAnsi"/>
      <w:sz w:val="20"/>
      <w:szCs w:val="20"/>
    </w:rPr>
  </w:style>
  <w:style w:type="paragraph" w:styleId="TOC6">
    <w:name w:val="toc 6"/>
    <w:basedOn w:val="Normal"/>
    <w:next w:val="Normal"/>
    <w:autoRedefine/>
    <w:uiPriority w:val="39"/>
    <w:semiHidden/>
    <w:unhideWhenUsed/>
    <w:rsid w:val="00200A4B"/>
    <w:pPr>
      <w:ind w:left="1200"/>
    </w:pPr>
    <w:rPr>
      <w:rFonts w:cstheme="minorHAnsi"/>
      <w:sz w:val="20"/>
      <w:szCs w:val="20"/>
    </w:rPr>
  </w:style>
  <w:style w:type="paragraph" w:styleId="TOC7">
    <w:name w:val="toc 7"/>
    <w:basedOn w:val="Normal"/>
    <w:next w:val="Normal"/>
    <w:autoRedefine/>
    <w:uiPriority w:val="39"/>
    <w:semiHidden/>
    <w:unhideWhenUsed/>
    <w:rsid w:val="00200A4B"/>
    <w:pPr>
      <w:ind w:left="1440"/>
    </w:pPr>
    <w:rPr>
      <w:rFonts w:cstheme="minorHAnsi"/>
      <w:sz w:val="20"/>
      <w:szCs w:val="20"/>
    </w:rPr>
  </w:style>
  <w:style w:type="paragraph" w:styleId="TOC8">
    <w:name w:val="toc 8"/>
    <w:basedOn w:val="Normal"/>
    <w:next w:val="Normal"/>
    <w:autoRedefine/>
    <w:uiPriority w:val="39"/>
    <w:semiHidden/>
    <w:unhideWhenUsed/>
    <w:rsid w:val="00200A4B"/>
    <w:pPr>
      <w:ind w:left="1680"/>
    </w:pPr>
    <w:rPr>
      <w:rFonts w:cstheme="minorHAnsi"/>
      <w:sz w:val="20"/>
      <w:szCs w:val="20"/>
    </w:rPr>
  </w:style>
  <w:style w:type="paragraph" w:styleId="TOC9">
    <w:name w:val="toc 9"/>
    <w:basedOn w:val="Normal"/>
    <w:next w:val="Normal"/>
    <w:autoRedefine/>
    <w:uiPriority w:val="39"/>
    <w:semiHidden/>
    <w:unhideWhenUsed/>
    <w:rsid w:val="00200A4B"/>
    <w:pPr>
      <w:ind w:left="1920"/>
    </w:pPr>
    <w:rPr>
      <w:rFonts w:cstheme="minorHAnsi"/>
      <w:sz w:val="20"/>
      <w:szCs w:val="20"/>
    </w:rPr>
  </w:style>
  <w:style w:type="paragraph" w:styleId="EndnoteText">
    <w:name w:val="endnote text"/>
    <w:basedOn w:val="Normal"/>
    <w:link w:val="EndnoteTextChar"/>
    <w:uiPriority w:val="99"/>
    <w:semiHidden/>
    <w:unhideWhenUsed/>
    <w:rsid w:val="00200A4B"/>
    <w:rPr>
      <w:sz w:val="20"/>
      <w:szCs w:val="20"/>
    </w:rPr>
  </w:style>
  <w:style w:type="character" w:customStyle="1" w:styleId="EndnoteTextChar">
    <w:name w:val="Endnote Text Char"/>
    <w:basedOn w:val="DefaultParagraphFont"/>
    <w:link w:val="EndnoteText"/>
    <w:uiPriority w:val="99"/>
    <w:semiHidden/>
    <w:rsid w:val="00200A4B"/>
    <w:rPr>
      <w:sz w:val="20"/>
      <w:szCs w:val="20"/>
    </w:rPr>
  </w:style>
  <w:style w:type="character" w:styleId="EndnoteReference">
    <w:name w:val="endnote reference"/>
    <w:basedOn w:val="DefaultParagraphFont"/>
    <w:uiPriority w:val="99"/>
    <w:semiHidden/>
    <w:unhideWhenUsed/>
    <w:rsid w:val="00200A4B"/>
    <w:rPr>
      <w:vertAlign w:val="superscript"/>
    </w:rPr>
  </w:style>
  <w:style w:type="paragraph" w:styleId="Bibliography">
    <w:name w:val="Bibliography"/>
    <w:basedOn w:val="Normal"/>
    <w:next w:val="Normal"/>
    <w:uiPriority w:val="37"/>
    <w:unhideWhenUsed/>
    <w:rsid w:val="00200A4B"/>
  </w:style>
  <w:style w:type="character" w:customStyle="1" w:styleId="Heading2Char">
    <w:name w:val="Heading 2 Char"/>
    <w:basedOn w:val="DefaultParagraphFont"/>
    <w:link w:val="Heading2"/>
    <w:uiPriority w:val="9"/>
    <w:rsid w:val="00D90C3B"/>
    <w:rPr>
      <w:rFonts w:asciiTheme="majorHAnsi" w:eastAsiaTheme="majorEastAsia" w:hAnsiTheme="majorHAnsi" w:cstheme="majorBidi"/>
      <w:color w:val="2F5496" w:themeColor="accent1" w:themeShade="BF"/>
      <w:sz w:val="32"/>
      <w:szCs w:val="26"/>
    </w:rPr>
  </w:style>
  <w:style w:type="table" w:styleId="TableGrid">
    <w:name w:val="Table Grid"/>
    <w:basedOn w:val="TableNormal"/>
    <w:uiPriority w:val="39"/>
    <w:rsid w:val="004029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83083">
      <w:bodyDiv w:val="1"/>
      <w:marLeft w:val="0"/>
      <w:marRight w:val="0"/>
      <w:marTop w:val="0"/>
      <w:marBottom w:val="0"/>
      <w:divBdr>
        <w:top w:val="none" w:sz="0" w:space="0" w:color="auto"/>
        <w:left w:val="none" w:sz="0" w:space="0" w:color="auto"/>
        <w:bottom w:val="none" w:sz="0" w:space="0" w:color="auto"/>
        <w:right w:val="none" w:sz="0" w:space="0" w:color="auto"/>
      </w:divBdr>
    </w:div>
    <w:div w:id="367073632">
      <w:bodyDiv w:val="1"/>
      <w:marLeft w:val="0"/>
      <w:marRight w:val="0"/>
      <w:marTop w:val="0"/>
      <w:marBottom w:val="0"/>
      <w:divBdr>
        <w:top w:val="none" w:sz="0" w:space="0" w:color="auto"/>
        <w:left w:val="none" w:sz="0" w:space="0" w:color="auto"/>
        <w:bottom w:val="none" w:sz="0" w:space="0" w:color="auto"/>
        <w:right w:val="none" w:sz="0" w:space="0" w:color="auto"/>
      </w:divBdr>
    </w:div>
    <w:div w:id="440151261">
      <w:bodyDiv w:val="1"/>
      <w:marLeft w:val="0"/>
      <w:marRight w:val="0"/>
      <w:marTop w:val="0"/>
      <w:marBottom w:val="0"/>
      <w:divBdr>
        <w:top w:val="none" w:sz="0" w:space="0" w:color="auto"/>
        <w:left w:val="none" w:sz="0" w:space="0" w:color="auto"/>
        <w:bottom w:val="none" w:sz="0" w:space="0" w:color="auto"/>
        <w:right w:val="none" w:sz="0" w:space="0" w:color="auto"/>
      </w:divBdr>
    </w:div>
    <w:div w:id="630017588">
      <w:bodyDiv w:val="1"/>
      <w:marLeft w:val="0"/>
      <w:marRight w:val="0"/>
      <w:marTop w:val="0"/>
      <w:marBottom w:val="0"/>
      <w:divBdr>
        <w:top w:val="none" w:sz="0" w:space="0" w:color="auto"/>
        <w:left w:val="none" w:sz="0" w:space="0" w:color="auto"/>
        <w:bottom w:val="none" w:sz="0" w:space="0" w:color="auto"/>
        <w:right w:val="none" w:sz="0" w:space="0" w:color="auto"/>
      </w:divBdr>
    </w:div>
    <w:div w:id="830176730">
      <w:bodyDiv w:val="1"/>
      <w:marLeft w:val="0"/>
      <w:marRight w:val="0"/>
      <w:marTop w:val="0"/>
      <w:marBottom w:val="0"/>
      <w:divBdr>
        <w:top w:val="none" w:sz="0" w:space="0" w:color="auto"/>
        <w:left w:val="none" w:sz="0" w:space="0" w:color="auto"/>
        <w:bottom w:val="none" w:sz="0" w:space="0" w:color="auto"/>
        <w:right w:val="none" w:sz="0" w:space="0" w:color="auto"/>
      </w:divBdr>
    </w:div>
    <w:div w:id="958101022">
      <w:bodyDiv w:val="1"/>
      <w:marLeft w:val="0"/>
      <w:marRight w:val="0"/>
      <w:marTop w:val="0"/>
      <w:marBottom w:val="0"/>
      <w:divBdr>
        <w:top w:val="none" w:sz="0" w:space="0" w:color="auto"/>
        <w:left w:val="none" w:sz="0" w:space="0" w:color="auto"/>
        <w:bottom w:val="none" w:sz="0" w:space="0" w:color="auto"/>
        <w:right w:val="none" w:sz="0" w:space="0" w:color="auto"/>
      </w:divBdr>
    </w:div>
    <w:div w:id="1061640963">
      <w:bodyDiv w:val="1"/>
      <w:marLeft w:val="0"/>
      <w:marRight w:val="0"/>
      <w:marTop w:val="0"/>
      <w:marBottom w:val="0"/>
      <w:divBdr>
        <w:top w:val="none" w:sz="0" w:space="0" w:color="auto"/>
        <w:left w:val="none" w:sz="0" w:space="0" w:color="auto"/>
        <w:bottom w:val="none" w:sz="0" w:space="0" w:color="auto"/>
        <w:right w:val="none" w:sz="0" w:space="0" w:color="auto"/>
      </w:divBdr>
    </w:div>
    <w:div w:id="1229339984">
      <w:bodyDiv w:val="1"/>
      <w:marLeft w:val="0"/>
      <w:marRight w:val="0"/>
      <w:marTop w:val="0"/>
      <w:marBottom w:val="0"/>
      <w:divBdr>
        <w:top w:val="none" w:sz="0" w:space="0" w:color="auto"/>
        <w:left w:val="none" w:sz="0" w:space="0" w:color="auto"/>
        <w:bottom w:val="none" w:sz="0" w:space="0" w:color="auto"/>
        <w:right w:val="none" w:sz="0" w:space="0" w:color="auto"/>
      </w:divBdr>
    </w:div>
    <w:div w:id="1266763506">
      <w:bodyDiv w:val="1"/>
      <w:marLeft w:val="0"/>
      <w:marRight w:val="0"/>
      <w:marTop w:val="0"/>
      <w:marBottom w:val="0"/>
      <w:divBdr>
        <w:top w:val="none" w:sz="0" w:space="0" w:color="auto"/>
        <w:left w:val="none" w:sz="0" w:space="0" w:color="auto"/>
        <w:bottom w:val="none" w:sz="0" w:space="0" w:color="auto"/>
        <w:right w:val="none" w:sz="0" w:space="0" w:color="auto"/>
      </w:divBdr>
    </w:div>
    <w:div w:id="1352224585">
      <w:bodyDiv w:val="1"/>
      <w:marLeft w:val="0"/>
      <w:marRight w:val="0"/>
      <w:marTop w:val="0"/>
      <w:marBottom w:val="0"/>
      <w:divBdr>
        <w:top w:val="none" w:sz="0" w:space="0" w:color="auto"/>
        <w:left w:val="none" w:sz="0" w:space="0" w:color="auto"/>
        <w:bottom w:val="none" w:sz="0" w:space="0" w:color="auto"/>
        <w:right w:val="none" w:sz="0" w:space="0" w:color="auto"/>
      </w:divBdr>
    </w:div>
    <w:div w:id="1352341871">
      <w:bodyDiv w:val="1"/>
      <w:marLeft w:val="0"/>
      <w:marRight w:val="0"/>
      <w:marTop w:val="0"/>
      <w:marBottom w:val="0"/>
      <w:divBdr>
        <w:top w:val="none" w:sz="0" w:space="0" w:color="auto"/>
        <w:left w:val="none" w:sz="0" w:space="0" w:color="auto"/>
        <w:bottom w:val="none" w:sz="0" w:space="0" w:color="auto"/>
        <w:right w:val="none" w:sz="0" w:space="0" w:color="auto"/>
      </w:divBdr>
    </w:div>
    <w:div w:id="1429543741">
      <w:bodyDiv w:val="1"/>
      <w:marLeft w:val="0"/>
      <w:marRight w:val="0"/>
      <w:marTop w:val="0"/>
      <w:marBottom w:val="0"/>
      <w:divBdr>
        <w:top w:val="none" w:sz="0" w:space="0" w:color="auto"/>
        <w:left w:val="none" w:sz="0" w:space="0" w:color="auto"/>
        <w:bottom w:val="none" w:sz="0" w:space="0" w:color="auto"/>
        <w:right w:val="none" w:sz="0" w:space="0" w:color="auto"/>
      </w:divBdr>
    </w:div>
    <w:div w:id="1470317907">
      <w:bodyDiv w:val="1"/>
      <w:marLeft w:val="0"/>
      <w:marRight w:val="0"/>
      <w:marTop w:val="0"/>
      <w:marBottom w:val="0"/>
      <w:divBdr>
        <w:top w:val="none" w:sz="0" w:space="0" w:color="auto"/>
        <w:left w:val="none" w:sz="0" w:space="0" w:color="auto"/>
        <w:bottom w:val="none" w:sz="0" w:space="0" w:color="auto"/>
        <w:right w:val="none" w:sz="0" w:space="0" w:color="auto"/>
      </w:divBdr>
    </w:div>
    <w:div w:id="1831217911">
      <w:bodyDiv w:val="1"/>
      <w:marLeft w:val="0"/>
      <w:marRight w:val="0"/>
      <w:marTop w:val="0"/>
      <w:marBottom w:val="0"/>
      <w:divBdr>
        <w:top w:val="none" w:sz="0" w:space="0" w:color="auto"/>
        <w:left w:val="none" w:sz="0" w:space="0" w:color="auto"/>
        <w:bottom w:val="none" w:sz="0" w:space="0" w:color="auto"/>
        <w:right w:val="none" w:sz="0" w:space="0" w:color="auto"/>
      </w:divBdr>
    </w:div>
    <w:div w:id="207967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Chr19</b:Tag>
    <b:SourceType>InternetSite</b:SourceType>
    <b:Guid>{14EA7C87-50F5-4745-9921-3AE798CAA1AF}</b:Guid>
    <b:Title>Tapped out? Brewpubs, taprooms inundate beer scene as brewers aim to stand out</b:Title>
    <b:Year>2019</b:Year>
    <b:InternetSiteTitle>Food Dive</b:InternetSiteTitle>
    <b:URL>https://www.fooddive.com/news/tapped-out-brewpubs-taprooms-inundate-beer-scene-as-brewers-aim-to-stand/544103/</b:URL>
    <b:Month>Jan</b:Month>
    <b:LCID>en-US</b:LCID>
    <b:Author>
      <b:Author>
        <b:NameList>
          <b:Person>
            <b:Last>Doering</b:Last>
            <b:First>Christopher</b:First>
          </b:Person>
        </b:NameList>
      </b:Author>
    </b:Author>
    <b:RefOrder>1</b:RefOrder>
  </b:Source>
  <b:Source>
    <b:Tag>Uni</b:Tag>
    <b:SourceType>InternetSite</b:SourceType>
    <b:Guid>{32E98D58-3F27-894A-BAF3-0EE299D0BC1D}</b:Guid>
    <b:Author>
      <b:Author>
        <b:NameList>
          <b:Person>
            <b:Last>Bureau</b:Last>
            <b:First>United</b:First>
            <b:Middle>States Census</b:Middle>
          </b:Person>
        </b:NameList>
      </b:Author>
    </b:Author>
    <b:Title>Developers</b:Title>
    <b:InternetSiteTitle>United States Census Bureau</b:InternetSiteTitle>
    <b:URL>https://www.census.gov/developers/</b:URL>
    <b:RefOrder>2</b:RefOrder>
  </b:Source>
</b:Sources>
</file>

<file path=customXml/itemProps1.xml><?xml version="1.0" encoding="utf-8"?>
<ds:datastoreItem xmlns:ds="http://schemas.openxmlformats.org/officeDocument/2006/customXml" ds:itemID="{FCE94295-0557-FF44-B1B6-5D0D97D02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Jacobsen</dc:creator>
  <cp:keywords/>
  <dc:description/>
  <cp:lastModifiedBy>Victor Jacobsen</cp:lastModifiedBy>
  <cp:revision>10</cp:revision>
  <dcterms:created xsi:type="dcterms:W3CDTF">2020-04-09T02:57:00Z</dcterms:created>
  <dcterms:modified xsi:type="dcterms:W3CDTF">2020-04-09T03:47:00Z</dcterms:modified>
</cp:coreProperties>
</file>