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Project Initialization and Planning Phase</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968"/>
        <w:gridCol w:w="4968"/>
      </w:tblGrid>
      <w:tr>
        <w:tc>
          <w:tcPr>
            <w:tcW w:type="dxa" w:w="2592"/>
          </w:tcPr>
          <w:p>
            <w:r/>
            <w:r>
              <w:rPr>
                <w:rFonts w:ascii="Times New Roman" w:hAnsi="Times New Roman"/>
                <w:b/>
                <w:sz w:val="22"/>
              </w:rPr>
              <w:t>Date</w:t>
            </w:r>
          </w:p>
        </w:tc>
        <w:tc>
          <w:tcPr>
            <w:tcW w:type="dxa" w:w="7200"/>
          </w:tcPr>
          <w:p>
            <w:r/>
            <w:r>
              <w:rPr>
                <w:rFonts w:ascii="Times New Roman" w:hAnsi="Times New Roman"/>
                <w:sz w:val="22"/>
              </w:rPr>
              <w:t>05 July 2026</w:t>
            </w:r>
          </w:p>
        </w:tc>
      </w:tr>
      <w:tr>
        <w:tc>
          <w:tcPr>
            <w:tcW w:type="dxa" w:w="2592"/>
          </w:tcPr>
          <w:p>
            <w:r/>
            <w:r>
              <w:rPr>
                <w:rFonts w:ascii="Times New Roman" w:hAnsi="Times New Roman"/>
                <w:b/>
                <w:sz w:val="22"/>
              </w:rPr>
              <w:t>Team ID</w:t>
            </w:r>
          </w:p>
        </w:tc>
        <w:tc>
          <w:tcPr>
            <w:tcW w:type="dxa" w:w="7200"/>
          </w:tcPr>
          <w:p>
            <w:r/>
            <w:r>
              <w:rPr>
                <w:rFonts w:ascii="Times New Roman" w:hAnsi="Times New Roman"/>
                <w:sz w:val="22"/>
              </w:rPr>
            </w:r>
          </w:p>
        </w:tc>
      </w:tr>
      <w:tr>
        <w:tc>
          <w:tcPr>
            <w:tcW w:type="dxa" w:w="2592"/>
          </w:tcPr>
          <w:p>
            <w:r/>
            <w:r>
              <w:rPr>
                <w:rFonts w:ascii="Times New Roman" w:hAnsi="Times New Roman"/>
                <w:b/>
                <w:sz w:val="22"/>
              </w:rPr>
              <w:t>Project Name</w:t>
            </w:r>
          </w:p>
        </w:tc>
        <w:tc>
          <w:tcPr>
            <w:tcW w:type="dxa" w:w="7200"/>
          </w:tcPr>
          <w:p>
            <w:r/>
            <w:r>
              <w:rPr>
                <w:rFonts w:ascii="Times New Roman" w:hAnsi="Times New Roman"/>
                <w:sz w:val="22"/>
              </w:rPr>
              <w:t>Green-Predict-Pro</w:t>
            </w:r>
          </w:p>
        </w:tc>
      </w:tr>
      <w:tr>
        <w:tc>
          <w:tcPr>
            <w:tcW w:type="dxa" w:w="2592"/>
          </w:tcPr>
          <w:p>
            <w:r/>
            <w:r>
              <w:rPr>
                <w:rFonts w:ascii="Times New Roman" w:hAnsi="Times New Roman"/>
                <w:b/>
                <w:sz w:val="22"/>
              </w:rPr>
              <w:t>Maximum Marks</w:t>
            </w:r>
          </w:p>
        </w:tc>
        <w:tc>
          <w:tcPr>
            <w:tcW w:type="dxa" w:w="7200"/>
          </w:tcPr>
          <w:p>
            <w:r/>
            <w:r>
              <w:rPr>
                <w:rFonts w:ascii="Times New Roman" w:hAnsi="Times New Roman"/>
                <w:sz w:val="22"/>
              </w:rPr>
              <w:t>3 Marks</w:t>
            </w:r>
          </w:p>
        </w:tc>
      </w:tr>
    </w:tbl>
    <w:p/>
    <w:p>
      <w:r>
        <w:rPr>
          <w:rFonts w:ascii="Times New Roman" w:hAnsi="Times New Roman"/>
          <w:b/>
          <w:i w:val="0"/>
          <w:sz w:val="24"/>
        </w:rPr>
        <w:t>Define Problem Statements (Customer Problem Statement Template):</w:t>
      </w:r>
    </w:p>
    <w:p>
      <w:r>
        <w:rPr>
          <w:rFonts w:ascii="Times New Roman" w:hAnsi="Times New Roman"/>
          <w:b w:val="0"/>
          <w:i w:val="0"/>
          <w:sz w:val="22"/>
        </w:rPr>
        <w:t>Create a problem statement to understand your customer's point of view. The Customer Problem Statement template helps you focus on what matters to create experiences people will love. A well-articulated customer problem statement allows you and your team to find the ideal solution for your customers' challenges. Throughout the process, you'll also be able to empathize with your customers, which helps you better understand how they perceive your product or service.</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656"/>
        <w:gridCol w:w="1656"/>
        <w:gridCol w:w="1656"/>
        <w:gridCol w:w="1656"/>
        <w:gridCol w:w="1656"/>
        <w:gridCol w:w="1656"/>
      </w:tblGrid>
      <w:tr>
        <w:tc>
          <w:tcPr>
            <w:tcW w:type="dxa" w:w="1296"/>
            <w:shd w:val="clear" w:color="auto" w:fill="D9E2F3"/>
          </w:tcPr>
          <w:p>
            <w:r/>
            <w:r>
              <w:rPr>
                <w:rFonts w:ascii="Times New Roman" w:hAnsi="Times New Roman"/>
                <w:b/>
                <w:sz w:val="20"/>
              </w:rPr>
              <w:t>Problem Statement (PS)</w:t>
            </w:r>
          </w:p>
        </w:tc>
        <w:tc>
          <w:tcPr>
            <w:tcW w:type="dxa" w:w="2016"/>
            <w:shd w:val="clear" w:color="auto" w:fill="D9E2F3"/>
          </w:tcPr>
          <w:p>
            <w:r/>
            <w:r>
              <w:rPr>
                <w:rFonts w:ascii="Times New Roman" w:hAnsi="Times New Roman"/>
                <w:b/>
                <w:sz w:val="20"/>
              </w:rPr>
              <w:t>I am (Customer)</w:t>
            </w:r>
          </w:p>
        </w:tc>
        <w:tc>
          <w:tcPr>
            <w:tcW w:type="dxa" w:w="1728"/>
            <w:shd w:val="clear" w:color="auto" w:fill="D9E2F3"/>
          </w:tcPr>
          <w:p>
            <w:r/>
            <w:r>
              <w:rPr>
                <w:rFonts w:ascii="Times New Roman" w:hAnsi="Times New Roman"/>
                <w:b/>
                <w:sz w:val="20"/>
              </w:rPr>
              <w:t>I'm trying to</w:t>
            </w:r>
          </w:p>
        </w:tc>
        <w:tc>
          <w:tcPr>
            <w:tcW w:type="dxa" w:w="1872"/>
            <w:shd w:val="clear" w:color="auto" w:fill="D9E2F3"/>
          </w:tcPr>
          <w:p>
            <w:r/>
            <w:r>
              <w:rPr>
                <w:rFonts w:ascii="Times New Roman" w:hAnsi="Times New Roman"/>
                <w:b/>
                <w:sz w:val="20"/>
              </w:rPr>
              <w:t>But</w:t>
            </w:r>
          </w:p>
        </w:tc>
        <w:tc>
          <w:tcPr>
            <w:tcW w:type="dxa" w:w="1728"/>
            <w:shd w:val="clear" w:color="auto" w:fill="D9E2F3"/>
          </w:tcPr>
          <w:p>
            <w:r/>
            <w:r>
              <w:rPr>
                <w:rFonts w:ascii="Times New Roman" w:hAnsi="Times New Roman"/>
                <w:b/>
                <w:sz w:val="20"/>
              </w:rPr>
              <w:t>Because</w:t>
            </w:r>
          </w:p>
        </w:tc>
        <w:tc>
          <w:tcPr>
            <w:tcW w:type="dxa" w:w="2016"/>
            <w:shd w:val="clear" w:color="auto" w:fill="D9E2F3"/>
          </w:tcPr>
          <w:p>
            <w:r/>
            <w:r>
              <w:rPr>
                <w:rFonts w:ascii="Times New Roman" w:hAnsi="Times New Roman"/>
                <w:b/>
                <w:sz w:val="20"/>
              </w:rPr>
              <w:t>Which makes me feel</w:t>
            </w:r>
          </w:p>
        </w:tc>
      </w:tr>
      <w:tr>
        <w:tc>
          <w:tcPr>
            <w:tcW w:type="dxa" w:w="1296"/>
          </w:tcPr>
          <w:p>
            <w:r/>
            <w:r>
              <w:rPr>
                <w:rFonts w:ascii="Times New Roman" w:hAnsi="Times New Roman"/>
                <w:sz w:val="20"/>
              </w:rPr>
              <w:t>PS-1</w:t>
            </w:r>
          </w:p>
        </w:tc>
        <w:tc>
          <w:tcPr>
            <w:tcW w:type="dxa" w:w="2016"/>
          </w:tcPr>
          <w:p>
            <w:r/>
            <w:r>
              <w:rPr>
                <w:rFonts w:ascii="Times New Roman" w:hAnsi="Times New Roman"/>
                <w:sz w:val="20"/>
              </w:rPr>
              <w:t>A small-scale farmer</w:t>
            </w:r>
          </w:p>
        </w:tc>
        <w:tc>
          <w:tcPr>
            <w:tcW w:type="dxa" w:w="1728"/>
          </w:tcPr>
          <w:p>
            <w:r/>
            <w:r>
              <w:rPr>
                <w:rFonts w:ascii="Times New Roman" w:hAnsi="Times New Roman"/>
                <w:sz w:val="20"/>
              </w:rPr>
              <w:t>choose the most suitable crop for the upcoming season</w:t>
            </w:r>
          </w:p>
        </w:tc>
        <w:tc>
          <w:tcPr>
            <w:tcW w:type="dxa" w:w="1872"/>
          </w:tcPr>
          <w:p>
            <w:r/>
            <w:r>
              <w:rPr>
                <w:rFonts w:ascii="Times New Roman" w:hAnsi="Times New Roman"/>
                <w:sz w:val="20"/>
              </w:rPr>
              <w:t>he lacks scientific guidance on which crop matches his soil and climate</w:t>
            </w:r>
          </w:p>
        </w:tc>
        <w:tc>
          <w:tcPr>
            <w:tcW w:type="dxa" w:w="1728"/>
          </w:tcPr>
          <w:p>
            <w:r/>
            <w:r>
              <w:rPr>
                <w:rFonts w:ascii="Times New Roman" w:hAnsi="Times New Roman"/>
                <w:sz w:val="20"/>
              </w:rPr>
              <w:t>soil nutrients, rainfall and weather vary every year</w:t>
            </w:r>
          </w:p>
        </w:tc>
        <w:tc>
          <w:tcPr>
            <w:tcW w:type="dxa" w:w="2016"/>
          </w:tcPr>
          <w:p>
            <w:r/>
            <w:r>
              <w:rPr>
                <w:rFonts w:ascii="Times New Roman" w:hAnsi="Times New Roman"/>
                <w:sz w:val="20"/>
              </w:rPr>
              <w:t>Anxious about picking the wrong crop and losing income.</w:t>
            </w:r>
          </w:p>
        </w:tc>
      </w:tr>
      <w:tr>
        <w:tc>
          <w:tcPr>
            <w:tcW w:type="dxa" w:w="1296"/>
          </w:tcPr>
          <w:p>
            <w:r/>
            <w:r>
              <w:rPr>
                <w:rFonts w:ascii="Times New Roman" w:hAnsi="Times New Roman"/>
                <w:sz w:val="20"/>
              </w:rPr>
              <w:t>PS-2</w:t>
            </w:r>
          </w:p>
        </w:tc>
        <w:tc>
          <w:tcPr>
            <w:tcW w:type="dxa" w:w="2016"/>
          </w:tcPr>
          <w:p>
            <w:r/>
            <w:r>
              <w:rPr>
                <w:rFonts w:ascii="Times New Roman" w:hAnsi="Times New Roman"/>
                <w:sz w:val="20"/>
              </w:rPr>
              <w:t>An agriculture extension officer</w:t>
            </w:r>
          </w:p>
        </w:tc>
        <w:tc>
          <w:tcPr>
            <w:tcW w:type="dxa" w:w="1728"/>
          </w:tcPr>
          <w:p>
            <w:r/>
            <w:r>
              <w:rPr>
                <w:rFonts w:ascii="Times New Roman" w:hAnsi="Times New Roman"/>
                <w:sz w:val="20"/>
              </w:rPr>
              <w:t>recommend crops to multiple farmers quickly and consistently</w:t>
            </w:r>
          </w:p>
        </w:tc>
        <w:tc>
          <w:tcPr>
            <w:tcW w:type="dxa" w:w="1872"/>
          </w:tcPr>
          <w:p>
            <w:r/>
            <w:r>
              <w:rPr>
                <w:rFonts w:ascii="Times New Roman" w:hAnsi="Times New Roman"/>
                <w:sz w:val="20"/>
              </w:rPr>
              <w:t>manual advice varies from expert to expert</w:t>
            </w:r>
          </w:p>
        </w:tc>
        <w:tc>
          <w:tcPr>
            <w:tcW w:type="dxa" w:w="1728"/>
          </w:tcPr>
          <w:p>
            <w:r/>
            <w:r>
              <w:rPr>
                <w:rFonts w:ascii="Times New Roman" w:hAnsi="Times New Roman"/>
                <w:sz w:val="20"/>
              </w:rPr>
              <w:t>there is no data-driven decision tool available in the field</w:t>
            </w:r>
          </w:p>
        </w:tc>
        <w:tc>
          <w:tcPr>
            <w:tcW w:type="dxa" w:w="2016"/>
          </w:tcPr>
          <w:p>
            <w:r/>
            <w:r>
              <w:rPr>
                <w:rFonts w:ascii="Times New Roman" w:hAnsi="Times New Roman"/>
                <w:sz w:val="20"/>
              </w:rPr>
              <w:t>Frustrated by inconsistent recommendations and slow outreach.</w:t>
            </w:r>
          </w:p>
        </w:tc>
      </w:tr>
      <w:tr>
        <w:tc>
          <w:tcPr>
            <w:tcW w:type="dxa" w:w="1296"/>
          </w:tcPr>
          <w:p>
            <w:r/>
            <w:r>
              <w:rPr>
                <w:rFonts w:ascii="Times New Roman" w:hAnsi="Times New Roman"/>
                <w:sz w:val="20"/>
              </w:rPr>
              <w:t>PS-3</w:t>
            </w:r>
          </w:p>
        </w:tc>
        <w:tc>
          <w:tcPr>
            <w:tcW w:type="dxa" w:w="2016"/>
          </w:tcPr>
          <w:p>
            <w:r/>
            <w:r>
              <w:rPr>
                <w:rFonts w:ascii="Times New Roman" w:hAnsi="Times New Roman"/>
                <w:sz w:val="20"/>
              </w:rPr>
              <w:t>An agricultural researcher / policymaker</w:t>
            </w:r>
          </w:p>
        </w:tc>
        <w:tc>
          <w:tcPr>
            <w:tcW w:type="dxa" w:w="1728"/>
          </w:tcPr>
          <w:p>
            <w:r/>
            <w:r>
              <w:rPr>
                <w:rFonts w:ascii="Times New Roman" w:hAnsi="Times New Roman"/>
                <w:sz w:val="20"/>
              </w:rPr>
              <w:t>study how N, P, K, temperature, humidity, pH and rainfall influence crop choice</w:t>
            </w:r>
          </w:p>
        </w:tc>
        <w:tc>
          <w:tcPr>
            <w:tcW w:type="dxa" w:w="1872"/>
          </w:tcPr>
          <w:p>
            <w:r/>
            <w:r>
              <w:rPr>
                <w:rFonts w:ascii="Times New Roman" w:hAnsi="Times New Roman"/>
                <w:sz w:val="20"/>
              </w:rPr>
              <w:t>existing reports are static and not interactive</w:t>
            </w:r>
          </w:p>
        </w:tc>
        <w:tc>
          <w:tcPr>
            <w:tcW w:type="dxa" w:w="1728"/>
          </w:tcPr>
          <w:p>
            <w:r/>
            <w:r>
              <w:rPr>
                <w:rFonts w:ascii="Times New Roman" w:hAnsi="Times New Roman"/>
                <w:sz w:val="20"/>
              </w:rPr>
              <w:t>evidence-based planning needs an analytical platform</w:t>
            </w:r>
          </w:p>
        </w:tc>
        <w:tc>
          <w:tcPr>
            <w:tcW w:type="dxa" w:w="2016"/>
          </w:tcPr>
          <w:p>
            <w:r/>
            <w:r>
              <w:rPr>
                <w:rFonts w:ascii="Times New Roman" w:hAnsi="Times New Roman"/>
                <w:sz w:val="20"/>
              </w:rPr>
              <w:t>Motivated to design better data-driven agricultural policies.</w:t>
            </w:r>
          </w:p>
        </w:tc>
      </w:tr>
    </w:tbl>
    <w:p/>
    <w:sectPr w:rsidR="00FC693F" w:rsidRPr="0006063C" w:rsidSect="00034616">
      <w:headerReference w:type="default" r:id="rId9"/>
      <w:pgSz w:w="12240" w:h="15840"/>
      <w:pgMar w:top="864"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autofit"/>
      <w:tblLook w:firstColumn="1" w:firstRow="1" w:lastColumn="0" w:lastRow="0" w:noHBand="0" w:noVBand="1" w:val="04A0"/>
    </w:tblPr>
    <w:tblGrid>
      <w:gridCol w:w="5040"/>
      <w:gridCol w:w="5040"/>
    </w:tblGrid>
    <w:tr>
      <w:tc>
        <w:tcPr>
          <w:tcW w:type="dxa" w:w="5040"/>
        </w:tcPr>
        <w:p>
          <w:pPr>
            <w:jc w:val="left"/>
          </w:pPr>
          <w:r>
            <w:drawing>
              <wp:inline xmlns:a="http://schemas.openxmlformats.org/drawingml/2006/main" xmlns:pic="http://schemas.openxmlformats.org/drawingml/2006/picture">
                <wp:extent cx="1645920" cy="461503"/>
                <wp:docPr id="1" name="Picture 1"/>
                <wp:cNvGraphicFramePr>
                  <a:graphicFrameLocks noChangeAspect="1"/>
                </wp:cNvGraphicFramePr>
                <a:graphic>
                  <a:graphicData uri="http://schemas.openxmlformats.org/drawingml/2006/picture">
                    <pic:pic>
                      <pic:nvPicPr>
                        <pic:cNvPr id="0" name="smartbridge.png"/>
                        <pic:cNvPicPr/>
                      </pic:nvPicPr>
                      <pic:blipFill>
                        <a:blip r:embed="rId1"/>
                        <a:stretch>
                          <a:fillRect/>
                        </a:stretch>
                      </pic:blipFill>
                      <pic:spPr>
                        <a:xfrm>
                          <a:off x="0" y="0"/>
                          <a:ext cx="1645920" cy="461503"/>
                        </a:xfrm>
                        <a:prstGeom prst="rect"/>
                      </pic:spPr>
                    </pic:pic>
                  </a:graphicData>
                </a:graphic>
              </wp:inline>
            </w:drawing>
          </w:r>
        </w:p>
      </w:tc>
      <w:tc>
        <w:tcPr>
          <w:tcW w:type="dxa" w:w="5040"/>
        </w:tcPr>
        <w:p>
          <w:pPr>
            <w:jc w:val="right"/>
          </w:pPr>
          <w:r>
            <w:drawing>
              <wp:inline xmlns:a="http://schemas.openxmlformats.org/drawingml/2006/main" xmlns:pic="http://schemas.openxmlformats.org/drawingml/2006/picture">
                <wp:extent cx="1005840" cy="569483"/>
                <wp:docPr id="2" name="Picture 2"/>
                <wp:cNvGraphicFramePr>
                  <a:graphicFrameLocks noChangeAspect="1"/>
                </wp:cNvGraphicFramePr>
                <a:graphic>
                  <a:graphicData uri="http://schemas.openxmlformats.org/drawingml/2006/picture">
                    <pic:pic>
                      <pic:nvPicPr>
                        <pic:cNvPr id="0" name="skillwallet.png"/>
                        <pic:cNvPicPr/>
                      </pic:nvPicPr>
                      <pic:blipFill>
                        <a:blip r:embed="rId2"/>
                        <a:stretch>
                          <a:fillRect/>
                        </a:stretch>
                      </pic:blipFill>
                      <pic:spPr>
                        <a:xfrm>
                          <a:off x="0" y="0"/>
                          <a:ext cx="1005840" cy="569483"/>
                        </a:xfrm>
                        <a:prstGeom prst="rect"/>
                      </pic:spPr>
                    </pic:pic>
                  </a:graphicData>
                </a:graphic>
              </wp:inline>
            </w:drawing>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