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Problem-Solution Fit Canvas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5 Marks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Problem-Solution Fit Canvas</w:t>
      </w:r>
    </w:p>
    <w:p>
      <w:r>
        <w:rPr>
          <w:rFonts w:ascii="Times New Roman" w:hAnsi="Times New Roman"/>
          <w:b w:val="0"/>
          <w:i w:val="0"/>
          <w:sz w:val="22"/>
        </w:rPr>
        <w:t>Use the framework below to ensure your proposed solution accurately addresses the root causes, behaviors, and limitations of your target audience.</w:t>
      </w:r>
    </w:p>
    <w:p>
      <w:r>
        <w:rPr>
          <w:rFonts w:ascii="Times New Roman" w:hAnsi="Times New Roman"/>
          <w:b/>
          <w:i w:val="0"/>
          <w:sz w:val="24"/>
        </w:rPr>
        <w:t>1. CUSTOMER SEGMENT(S) [CS]</w:t>
      </w:r>
    </w:p>
    <w:p>
      <w:r>
        <w:rPr>
          <w:rFonts w:ascii="Times New Roman" w:hAnsi="Times New Roman"/>
          <w:b w:val="0"/>
          <w:i w:val="0"/>
          <w:sz w:val="22"/>
        </w:rPr>
        <w:t>Small &amp; medium farmers, agricultural extension officers, agri-researchers, and policymakers who need data-driven crop guidance.</w:t>
      </w:r>
    </w:p>
    <w:p>
      <w:r>
        <w:rPr>
          <w:rFonts w:ascii="Times New Roman" w:hAnsi="Times New Roman"/>
          <w:b/>
          <w:i w:val="0"/>
          <w:sz w:val="24"/>
        </w:rPr>
        <w:t>2. PROBLEMS / PAINS + FREQUENCY [PR]</w:t>
      </w:r>
    </w:p>
    <w:p>
      <w:r>
        <w:rPr>
          <w:rFonts w:ascii="Times New Roman" w:hAnsi="Times New Roman"/>
          <w:b w:val="0"/>
          <w:i w:val="0"/>
          <w:sz w:val="22"/>
        </w:rPr>
        <w:t>Wrong crop selection every season; yield loss; inefficient use of fertilizers; occurs at every sowing cycle (2–3 times a year).</w:t>
      </w:r>
    </w:p>
    <w:p>
      <w:r>
        <w:rPr>
          <w:rFonts w:ascii="Times New Roman" w:hAnsi="Times New Roman"/>
          <w:b/>
          <w:i w:val="0"/>
          <w:sz w:val="24"/>
        </w:rPr>
        <w:t>3. TRIGGERS TO ACT [TR]</w:t>
      </w:r>
    </w:p>
    <w:p>
      <w:r>
        <w:rPr>
          <w:rFonts w:ascii="Times New Roman" w:hAnsi="Times New Roman"/>
          <w:b w:val="0"/>
          <w:i w:val="0"/>
          <w:sz w:val="22"/>
        </w:rPr>
        <w:t>Approaching sowing season, unexpected rainfall patterns, government advisories, low yield in the previous season.</w:t>
      </w:r>
    </w:p>
    <w:p>
      <w:r>
        <w:rPr>
          <w:rFonts w:ascii="Times New Roman" w:hAnsi="Times New Roman"/>
          <w:b/>
          <w:i w:val="0"/>
          <w:sz w:val="24"/>
        </w:rPr>
        <w:t>4. EMOTIONS BEFORE / AFTER [EM]</w:t>
      </w:r>
    </w:p>
    <w:p>
      <w:r>
        <w:rPr>
          <w:rFonts w:ascii="Times New Roman" w:hAnsi="Times New Roman"/>
          <w:b w:val="0"/>
          <w:i w:val="0"/>
          <w:sz w:val="22"/>
        </w:rPr>
        <w:t>Before: anxious, uncertain, confused. After: confident, informed, empowered with evidence-based crop choice.</w:t>
      </w:r>
    </w:p>
    <w:p>
      <w:r>
        <w:rPr>
          <w:rFonts w:ascii="Times New Roman" w:hAnsi="Times New Roman"/>
          <w:b/>
          <w:i w:val="0"/>
          <w:sz w:val="24"/>
        </w:rPr>
        <w:t>5. AVAILABLE SOLUTIONS – PROS &amp; CONS [AS]</w:t>
      </w:r>
    </w:p>
    <w:p>
      <w:r>
        <w:rPr>
          <w:rFonts w:ascii="Times New Roman" w:hAnsi="Times New Roman"/>
          <w:b w:val="0"/>
          <w:i w:val="0"/>
          <w:sz w:val="22"/>
        </w:rPr>
        <w:t>Extension officer visits (limited reach), generic KVK pamphlets (not personalized), commercial agri-advisory apps (paid, limited transparency).</w:t>
      </w:r>
    </w:p>
    <w:p>
      <w:r>
        <w:rPr>
          <w:rFonts w:ascii="Times New Roman" w:hAnsi="Times New Roman"/>
          <w:b/>
          <w:i w:val="0"/>
          <w:sz w:val="24"/>
        </w:rPr>
        <w:t>6. CUSTOMER LIMITATIONS [CL]</w:t>
      </w:r>
    </w:p>
    <w:p>
      <w:r>
        <w:rPr>
          <w:rFonts w:ascii="Times New Roman" w:hAnsi="Times New Roman"/>
          <w:b w:val="0"/>
          <w:i w:val="0"/>
          <w:sz w:val="22"/>
        </w:rPr>
        <w:t>Low-cost smartphones, poor connectivity in rural areas, limited digital literacy, cannot afford paid subscriptions.</w:t>
      </w:r>
    </w:p>
    <w:p>
      <w:r>
        <w:rPr>
          <w:rFonts w:ascii="Times New Roman" w:hAnsi="Times New Roman"/>
          <w:b/>
          <w:i w:val="0"/>
          <w:sz w:val="24"/>
        </w:rPr>
        <w:t>7. BEHAVIOUR + INTENSITY [BE]</w:t>
      </w:r>
    </w:p>
    <w:p>
      <w:r>
        <w:rPr>
          <w:rFonts w:ascii="Times New Roman" w:hAnsi="Times New Roman"/>
          <w:b w:val="0"/>
          <w:i w:val="0"/>
          <w:sz w:val="22"/>
        </w:rPr>
        <w:t>Farmers frequently consult neighbours, YouTube videos and local dealers before sowing; high intensity around season start.</w:t>
      </w:r>
    </w:p>
    <w:p>
      <w:r>
        <w:rPr>
          <w:rFonts w:ascii="Times New Roman" w:hAnsi="Times New Roman"/>
          <w:b/>
          <w:i w:val="0"/>
          <w:sz w:val="24"/>
        </w:rPr>
        <w:t>8. CHANNELS OF BEHAVIOUR [CH]</w:t>
      </w:r>
    </w:p>
    <w:p>
      <w:r>
        <w:rPr>
          <w:rFonts w:ascii="Times New Roman" w:hAnsi="Times New Roman"/>
          <w:b w:val="0"/>
          <w:i w:val="0"/>
          <w:sz w:val="22"/>
        </w:rPr>
        <w:t>ONLINE: WhatsApp groups, YouTube, agri-YouTubers, government portals.  OFFLINE: extension officers, KVK meetings, local seed dealers.</w:t>
      </w:r>
    </w:p>
    <w:p>
      <w:r>
        <w:rPr>
          <w:rFonts w:ascii="Times New Roman" w:hAnsi="Times New Roman"/>
          <w:b/>
          <w:i w:val="0"/>
          <w:sz w:val="24"/>
        </w:rPr>
        <w:t>9. PROBLEM ROOT / CAUSE [RC]</w:t>
      </w:r>
    </w:p>
    <w:p>
      <w:r>
        <w:rPr>
          <w:rFonts w:ascii="Times New Roman" w:hAnsi="Times New Roman"/>
          <w:b w:val="0"/>
          <w:i w:val="0"/>
          <w:sz w:val="22"/>
        </w:rPr>
        <w:t>Lack of an affordable, easy-to-use, data-driven decision tool that combines soil nutrients (N, P, K) with climate (temperature, humidity, pH, rainfall).</w:t>
      </w:r>
    </w:p>
    <w:p>
      <w:r>
        <w:rPr>
          <w:rFonts w:ascii="Times New Roman" w:hAnsi="Times New Roman"/>
          <w:b/>
          <w:i w:val="0"/>
          <w:sz w:val="24"/>
        </w:rPr>
        <w:t>10. YOUR SOLUTION [SL]</w:t>
      </w:r>
    </w:p>
    <w:p>
      <w:r>
        <w:rPr>
          <w:rFonts w:ascii="Times New Roman" w:hAnsi="Times New Roman"/>
          <w:b w:val="0"/>
          <w:i w:val="0"/>
          <w:sz w:val="22"/>
        </w:rPr>
        <w:t>Green-Predict-Pro – a Flask web app that takes N, P, K, temperature, humidity, pH and rainfall as inputs and recommends the most suitable crop using a trained ML classifier, plus insights for researchers.</w:t>
      </w:r>
    </w:p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