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Code-Layout, Readability and Reusability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968"/>
        <w:gridCol w:w="4968"/>
      </w:tblGrid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Date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  <w:t>05 July 2026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Team ID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Project Name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  <w:t>Green-Predict-Pro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Maximum Marks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  <w:t>5 Marks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Code-Layout, Readability and Reusability:</w:t>
      </w:r>
    </w:p>
    <w:p>
      <w:r>
        <w:rPr>
          <w:rFonts w:ascii="Times New Roman" w:hAnsi="Times New Roman"/>
          <w:b w:val="0"/>
          <w:i w:val="0"/>
          <w:sz w:val="22"/>
        </w:rPr>
        <w:t>This document evaluates the quality of the codebase in terms of its structure, readability, and reusability. Well-organized code with proper naming conventions, comments, and modular design ensures that the project is maintainable and can be extended or reused in future development.</w:t>
      </w:r>
    </w:p>
    <w:p>
      <w:r>
        <w:rPr>
          <w:rFonts w:ascii="Times New Roman" w:hAnsi="Times New Roman"/>
          <w:b/>
          <w:i w:val="0"/>
          <w:sz w:val="24"/>
        </w:rPr>
        <w:t>Code Layout Checklist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S.No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Code Quality Parameter</w:t>
            </w:r>
          </w:p>
        </w:tc>
        <w:tc>
          <w:tcPr>
            <w:tcW w:type="dxa" w:w="3456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Description</w:t>
            </w:r>
          </w:p>
        </w:tc>
        <w:tc>
          <w:tcPr>
            <w:tcW w:type="dxa" w:w="1584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Followed (Yes / No / Partial)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Remarks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Consistent Indentation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sz w:val="20"/>
              </w:rPr>
              <w:t>Uniform spacing / tabs used throughout the code</w:t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4-space indentation, PEP 8.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Proper File Structure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sz w:val="20"/>
              </w:rPr>
              <w:t>Files and folders are logically organized</w:t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app.py, /templates, /static, /model, /notebooks.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Meaningful Variable Names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sz w:val="20"/>
              </w:rPr>
              <w:t>Variables reflect their purpose clearly</w:t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e.g., nitrogen_level, rainfall_mm, predicted_crop.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Function / Method Names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sz w:val="20"/>
              </w:rPr>
              <w:t>Functions are descriptively named</w:t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load_model(), predict_crop(), preprocess_input().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Code Comments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sz w:val="20"/>
              </w:rPr>
              <w:t>Inline and block comments explain logic</w:t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Docstrings on every function and route.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Modular Design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sz w:val="20"/>
              </w:rPr>
              <w:t>Code is split into reusable functions / modules</w:t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Separate modules for model, preprocessing and routes.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No Redundant Code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sz w:val="20"/>
              </w:rPr>
              <w:t>Duplicate or unused code is removed</w:t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Common logic refactored into helpers.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Error Handling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sz w:val="20"/>
              </w:rPr>
              <w:t>Exceptions and errors are handled gracefully</w:t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try/except with user-friendly messages.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Reusable Components / Modules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S.No</w:t>
            </w:r>
          </w:p>
        </w:tc>
        <w:tc>
          <w:tcPr>
            <w:tcW w:type="dxa" w:w="2592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Component / Module Name</w:t>
            </w:r>
          </w:p>
        </w:tc>
        <w:tc>
          <w:tcPr>
            <w:tcW w:type="dxa" w:w="2304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Language / Technology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Where Reused</w:t>
            </w:r>
          </w:p>
        </w:tc>
        <w:tc>
          <w:tcPr>
            <w:tcW w:type="dxa" w:w="2304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Reusability Level (High/Medium/Low)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preprocess.py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sz w:val="20"/>
              </w:rPr>
              <w:t>Python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Input scaling for both training and prediction pipelines.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sz w:val="20"/>
              </w:rPr>
              <w:t>High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model_utils.py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sz w:val="20"/>
              </w:rPr>
              <w:t>Python / scikit-learn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Loads model, returns prediction &amp; confidence – reused by web app and Jupyter notebooks.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sz w:val="20"/>
              </w:rPr>
              <w:t>High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form_validator.py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sz w:val="20"/>
              </w:rPr>
              <w:t>Python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Reused across all input forms for range validation.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sz w:val="20"/>
              </w:rPr>
              <w:t>Medium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charts.py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sz w:val="20"/>
              </w:rPr>
              <w:t>Matplotlib / Seaborn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Reusable chart functions for the researcher dashboard.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sz w:val="20"/>
              </w:rPr>
              <w:t>Medium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auth_utils.py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sz w:val="20"/>
              </w:rPr>
              <w:t>Flask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Login, logout and password hashing helpers reused across routes.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sz w:val="20"/>
              </w:rPr>
              <w:t>Medium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Overall Code Quality Assessment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312"/>
        <w:gridCol w:w="3312"/>
        <w:gridCol w:w="3312"/>
      </w:tblGrid>
      <w:tr>
        <w:tc>
          <w:tcPr>
            <w:tcW w:type="dxa" w:w="3168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Aspect</w:t>
            </w:r>
          </w:p>
        </w:tc>
        <w:tc>
          <w:tcPr>
            <w:tcW w:type="dxa" w:w="1872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Rating (1-5)</w:t>
            </w:r>
          </w:p>
        </w:tc>
        <w:tc>
          <w:tcPr>
            <w:tcW w:type="dxa" w:w="5040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Comments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Times New Roman" w:hAnsi="Times New Roman"/>
                <w:sz w:val="20"/>
              </w:rPr>
              <w:t>Code Layout &amp; Structure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/>
                <w:sz w:val="20"/>
              </w:rPr>
              <w:t>Modular, PEP 8 compliant.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Times New Roman" w:hAnsi="Times New Roman"/>
                <w:sz w:val="20"/>
              </w:rPr>
              <w:t>Readability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/>
                <w:sz w:val="20"/>
              </w:rPr>
              <w:t>Clear naming and docstrings throughout.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Times New Roman" w:hAnsi="Times New Roman"/>
                <w:sz w:val="20"/>
              </w:rPr>
              <w:t>Reusability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/>
                <w:sz w:val="20"/>
              </w:rPr>
              <w:t>Core ML and utility functions reused across notebooks and web app.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Times New Roman" w:hAnsi="Times New Roman"/>
                <w:sz w:val="20"/>
              </w:rPr>
              <w:t>Documentation / Comments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/>
                <w:sz w:val="20"/>
              </w:rPr>
              <w:t>Docstrings + README + inline comments.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Times New Roman" w:hAnsi="Times New Roman"/>
                <w:sz w:val="20"/>
              </w:rPr>
              <w:t>Overall Score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4.5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/>
                <w:sz w:val="20"/>
              </w:rPr>
              <w:t>Production-ready quality.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5040"/>
      <w:gridCol w:w="5040"/>
    </w:tblGrid>
    <w:tr>
      <w:tc>
        <w:tcPr>
          <w:tcW w:type="dxa" w:w="5040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645920" cy="46150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martbrid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5920" cy="46150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005840" cy="569483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killwalle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5840" cy="56948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