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288" w:lineRule="auto"/>
        <w:jc w:val="center"/>
        <w:rPr>
          <w:b w:val="1"/>
          <w:color w:val="31333f"/>
          <w:sz w:val="28"/>
          <w:szCs w:val="28"/>
        </w:rPr>
      </w:pPr>
      <w:bookmarkStart w:colFirst="0" w:colLast="0" w:name="_vwqlmq97la7p" w:id="0"/>
      <w:bookmarkEnd w:id="0"/>
      <w:r w:rsidDel="00000000" w:rsidR="00000000" w:rsidRPr="00000000">
        <w:rPr>
          <w:b w:val="1"/>
          <w:color w:val="31333f"/>
          <w:sz w:val="28"/>
          <w:szCs w:val="28"/>
          <w:rtl w:val="0"/>
        </w:rPr>
        <w:t xml:space="preserve">AI-enabled Text Summarizer App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 Deployment Strategy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current demo, due to resource constraints, I used the LLaMA 3.2 1B model. For production-level deployment, we can select more powerful models based on benchmarks that evaluate performance on text summarization tasks.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production environment, model selection should be guided by the specific task and requirements. We can define the necessary benchmarks, evaluate and rank candidate models accordingly, and then proceed with deployment.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the benchmarks that can be considered for text summarization are 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10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CNN/DailyMail</w:t>
        <w:br w:type="textWrapping"/>
        <w:t xml:space="preserve">This benchmark is widely used for testing abstractive summarization. It pairs news articles with multi-sentence summaries, challenging models to extract key information from long-form text. The dataset is particularly suited for evaluating LLMs on tasks where comprehensive summaries are required.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10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Gigaword</w:t>
        <w:br w:type="textWrapping"/>
        <w:t xml:space="preserve">Gigaword focuses on extreme summarization, where the goal is to generate concise, one-line summaries or headlines from input texts. It is an excellent benchmark for testing brevity and informativeness in summarization models.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10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XSum (Extreme Summarization)</w:t>
        <w:br w:type="textWrapping"/>
        <w:t xml:space="preserve">XSum is designed for single-document summarization and emphasizes creating highly concise summaries. It includes BBC news articles and professionally written single-sentence summaries, making it a tough benchmark for abstractive summarization.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10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PubMed</w:t>
        <w:br w:type="textWrapping"/>
        <w:t xml:space="preserve">This dataset targets summarization in the biomedical domain. It features over 200,000 scientific papers with abstracts, testing LLMs' ability to handle domain-specific terminology and dense content. It is particularly valuable for assessing models in research and healthcare applications.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10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SAMSum</w:t>
        <w:br w:type="textWrapping"/>
        <w:t xml:space="preserve">SAMSum is a unique benchmark for summarizing conversational data. It contains over 16,000 human-written chat summaries, evaluating a model's ability to process informal dialogues and fragmented language into coherent summaries.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10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GovReport</w:t>
        <w:br w:type="textWrapping"/>
        <w:t xml:space="preserve">GovReport focuses on summarizing government reports, providing a dataset of highly formal and structured texts. It tests models on their ability to summarize dense, policy-oriented documents with accuracy and coherence.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Journey after model selection :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(High level view of production deployment process)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source model Journey : </w:t>
      </w:r>
    </w:p>
    <w:p w:rsidR="00000000" w:rsidDel="00000000" w:rsidP="00000000" w:rsidRDefault="00000000" w:rsidRPr="00000000" w14:paraId="00000014">
      <w:pPr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If the model is an open source model, We must check the feasibility and availability of the model in frameworks like </w:t>
      </w: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A high-throughput and memory-efficient inference and serving engine for LLMs, Some of them are vLLM, LMDeploy, SGLang, TensorRT, LitServe. </w:t>
      </w:r>
    </w:p>
    <w:p w:rsidR="00000000" w:rsidDel="00000000" w:rsidP="00000000" w:rsidRDefault="00000000" w:rsidRPr="00000000" w14:paraId="00000015">
      <w:pPr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Select the model based on the use case and benchmarks and the type of the model (Open source or proprietary).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We need to derive the Server computation based on the model, based on the inference hits (Live Traffic hits) and launch an ec2 instance.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Set up required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NVIDIA and CUDA </w:t>
        </w:r>
      </w:hyperlink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toolkit for GPU Access and usage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Experiment on different serving engines for the selected model and finalize the serving engine.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Deploy the model and create a FAST API using a serving engine like vLLM, LMDeploy.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Use the created FAST API Endpoint for the integration of the model as a micro service. I recommend using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LMDeploy </w:t>
        </w:r>
      </w:hyperlink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as its </w:t>
      </w:r>
      <w:r w:rsidDel="00000000" w:rsidR="00000000" w:rsidRPr="00000000">
        <w:rPr>
          <w:color w:val="222832"/>
          <w:sz w:val="28"/>
          <w:szCs w:val="28"/>
          <w:highlight w:val="white"/>
          <w:rtl w:val="0"/>
        </w:rPr>
        <w:t xml:space="preserve">TurboMind is an inference engine that supports high throughput inference for conversational LLMs. It’s based on NVIDIA’s </w:t>
      </w:r>
      <w:hyperlink r:id="rId8">
        <w:r w:rsidDel="00000000" w:rsidR="00000000" w:rsidRPr="00000000">
          <w:rPr>
            <w:color w:val="176de8"/>
            <w:sz w:val="28"/>
            <w:szCs w:val="28"/>
            <w:highlight w:val="white"/>
            <w:u w:val="single"/>
            <w:rtl w:val="0"/>
          </w:rPr>
          <w:t xml:space="preserve">FasterTransformer</w:t>
        </w:r>
      </w:hyperlink>
      <w:r w:rsidDel="00000000" w:rsidR="00000000" w:rsidRPr="00000000">
        <w:rPr>
          <w:color w:val="22283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color w:val="22283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832"/>
          <w:sz w:val="28"/>
          <w:szCs w:val="28"/>
          <w:highlight w:val="white"/>
        </w:rPr>
      </w:pPr>
      <w:r w:rsidDel="00000000" w:rsidR="00000000" w:rsidRPr="00000000">
        <w:rPr>
          <w:color w:val="222832"/>
          <w:sz w:val="28"/>
          <w:szCs w:val="28"/>
          <w:highlight w:val="white"/>
          <w:rtl w:val="0"/>
        </w:rPr>
        <w:t xml:space="preserve">The sample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endpoint </w:t>
        </w:r>
      </w:hyperlink>
      <w:r w:rsidDel="00000000" w:rsidR="00000000" w:rsidRPr="00000000">
        <w:rPr>
          <w:color w:val="222832"/>
          <w:sz w:val="28"/>
          <w:szCs w:val="28"/>
          <w:highlight w:val="white"/>
          <w:rtl w:val="0"/>
        </w:rPr>
        <w:t xml:space="preserve">of the created fast api via LMDeploy : </w:t>
      </w:r>
    </w:p>
    <w:p w:rsidR="00000000" w:rsidDel="00000000" w:rsidP="00000000" w:rsidRDefault="00000000" w:rsidRPr="00000000" w14:paraId="0000001E">
      <w:pPr>
        <w:rPr>
          <w:color w:val="222832"/>
          <w:sz w:val="28"/>
          <w:szCs w:val="28"/>
          <w:highlight w:val="white"/>
        </w:rPr>
      </w:pPr>
      <w:r w:rsidDel="00000000" w:rsidR="00000000" w:rsidRPr="00000000">
        <w:rPr>
          <w:color w:val="222832"/>
          <w:sz w:val="28"/>
          <w:szCs w:val="28"/>
          <w:highlight w:val="white"/>
        </w:rPr>
        <w:drawing>
          <wp:inline distB="114300" distT="114300" distL="114300" distR="114300">
            <wp:extent cx="59436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83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Proprietary model Journey :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model is a proprietary, we must access the model endpoint from the respective org/ model provider console page or cloud providers like AWS Bedrock, GCP Vertex AI, Azure AI Studio.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then use the endpoint and infer the model and integrate model into any service and prompt it.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83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lmdeploy.readthedocs.io/en/latest/llm/api_serv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vidia.com/cuda-downloads?target_os=Linux&amp;target_arch=x86_64&amp;Distribution=Ubuntu&amp;target_version=20.04&amp;target_type=deb_local" TargetMode="External"/><Relationship Id="rId7" Type="http://schemas.openxmlformats.org/officeDocument/2006/relationships/hyperlink" Target="https://lmdeploy.readthedocs.io/en/latest/llm/api_server.html" TargetMode="External"/><Relationship Id="rId8" Type="http://schemas.openxmlformats.org/officeDocument/2006/relationships/hyperlink" Target="https://github.com/NVIDIA/FasterTransform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