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REAL-TIME BIDIRECTIONAL CONTINUOUS SIGN LANGUAGE INTERPRETATION USING DEEP LEARNING</w:t>
      </w:r>
    </w:p>
    <w:p>
      <w:pPr>
        <w:pStyle w:val="BodyText"/>
      </w:pPr>
      <w:r>
        <w:t xml:space="preserve">A Thesis</w:t>
      </w:r>
      <w:r>
        <w:br/>
      </w:r>
      <w:r>
        <w:t xml:space="preserve">Presented to</w:t>
      </w:r>
      <w:r>
        <w:br/>
      </w:r>
      <w:r>
        <w:t xml:space="preserve">The Academic Faculty</w:t>
      </w:r>
    </w:p>
    <w:p>
      <w:pPr>
        <w:pStyle w:val="BodyText"/>
      </w:pPr>
      <w:r>
        <w:t xml:space="preserve">by</w:t>
      </w:r>
    </w:p>
    <w:p>
      <w:pPr>
        <w:pStyle w:val="BodyText"/>
      </w:pPr>
      <w:r>
        <w:rPr>
          <w:b/>
          <w:bCs/>
        </w:rPr>
        <w:t xml:space="preserve">ARCHIE NARAYAN</w:t>
      </w:r>
    </w:p>
    <w:p>
      <w:pPr>
        <w:pStyle w:val="BodyText"/>
      </w:pPr>
      <w:r>
        <w:t xml:space="preserve">In Partial Fulfillment</w:t>
      </w:r>
      <w:r>
        <w:br/>
      </w:r>
      <w:r>
        <w:t xml:space="preserve">of the Requirements for the M. Tech. Degree</w:t>
      </w:r>
    </w:p>
    <w:p>
      <w:pPr>
        <w:pStyle w:val="BodyText"/>
      </w:pPr>
      <w:r>
        <w:rPr>
          <w:b/>
          <w:bCs/>
        </w:rPr>
        <w:t xml:space="preserve">Indian Institute of Technology Patna</w:t>
      </w:r>
      <w:r>
        <w:br/>
      </w:r>
      <w:r>
        <w:t xml:space="preserve">DECEMBER 2025</w:t>
      </w:r>
    </w:p>
    <w:p>
      <w:pPr>
        <w:pStyle w:val="BodyText"/>
      </w:pPr>
      <w:r>
        <w:t xml:space="preserve">Copyright © Archie Narayan 2025</w:t>
      </w:r>
      <w:r>
        <w:br/>
      </w:r>
      <w:r>
        <w:t xml:space="preserve">All Rights Reserved</w:t>
      </w:r>
    </w:p>
    <w:p>
      <w:pPr>
        <w:pStyle w:val="BodyText"/>
      </w:pPr>
      <w:r>
        <w:rPr>
          <w:i/>
          <w:iCs/>
        </w:rPr>
        <w:t xml:space="preserve">To my beloved parents and family,</w:t>
      </w:r>
      <w:r>
        <w:br/>
      </w:r>
      <w:r>
        <w:rPr>
          <w:i/>
          <w:iCs/>
        </w:rPr>
        <w:t xml:space="preserve">for their endless support and encouragement.</w:t>
      </w:r>
    </w:p>
    <w:p>
      <w:pPr>
        <w:pStyle w:val="BodyText"/>
      </w:pPr>
      <w:r>
        <w:rPr>
          <w:b/>
          <w:bCs/>
        </w:rPr>
        <w:t xml:space="preserve">INDIAN INSTITUTE OF TECHNOLOGY PATNA</w:t>
      </w:r>
      <w:r>
        <w:br/>
      </w:r>
      <w:r>
        <w:t xml:space="preserve">Evaluation Committee Approval</w:t>
      </w:r>
    </w:p>
    <w:p>
      <w:pPr>
        <w:pStyle w:val="BodyText"/>
      </w:pPr>
      <w:r>
        <w:t xml:space="preserve">of a Thesis submitted by</w:t>
      </w:r>
    </w:p>
    <w:p>
      <w:pPr>
        <w:pStyle w:val="BodyText"/>
      </w:pPr>
      <w:r>
        <w:t xml:space="preserve">ARCHIE NARAYAN</w:t>
      </w:r>
    </w:p>
    <w:p>
      <w:pPr>
        <w:pStyle w:val="BodyText"/>
      </w:pPr>
      <w:r>
        <w:t xml:space="preserve">The thesis of Archie Narayan has been read, found satisfactory and approved by the following DPPC committee members.</w:t>
      </w:r>
    </w:p>
    <w:p>
      <w:pPr>
        <w:pStyle w:val="BodyText"/>
      </w:pPr>
      <w:r>
        <w:t xml:space="preserve">Name: 1</w:t>
      </w:r>
    </w:p>
    <w:p>
      <w:r>
        <w:pict>
          <v:rect style="width:0;height:1.5pt" o:hralign="center" o:hrstd="t" o:hr="t"/>
        </w:pict>
      </w:r>
    </w:p>
    <w:p>
      <w:pPr>
        <w:pStyle w:val="FirstParagraph"/>
      </w:pPr>
      <w:r>
        <w:t xml:space="preserve">, Supervisor Date:</w:t>
      </w:r>
    </w:p>
    <w:p>
      <w:r>
        <w:pict>
          <v:rect style="width:0;height:1.5pt" o:hralign="center" o:hrstd="t" o:hr="t"/>
        </w:pict>
      </w:r>
    </w:p>
    <w:p>
      <w:pPr>
        <w:pStyle w:val="FirstParagraph"/>
      </w:pPr>
      <w:r>
        <w:br/>
      </w:r>
      <w:r>
        <w:t xml:space="preserve">Name: 2</w:t>
      </w:r>
    </w:p>
    <w:p>
      <w:r>
        <w:pict>
          <v:rect style="width:0;height:1.5pt" o:hralign="center" o:hrstd="t" o:hr="t"/>
        </w:pict>
      </w:r>
    </w:p>
    <w:p>
      <w:pPr>
        <w:pStyle w:val="FirstParagraph"/>
      </w:pPr>
      <w:r>
        <w:t xml:space="preserve">, Member Date:</w:t>
      </w:r>
    </w:p>
    <w:p>
      <w:r>
        <w:pict>
          <v:rect style="width:0;height:1.5pt" o:hralign="center" o:hrstd="t" o:hr="t"/>
        </w:pict>
      </w:r>
    </w:p>
    <w:p>
      <w:pPr>
        <w:pStyle w:val="FirstParagraph"/>
      </w:pPr>
      <w:r>
        <w:br/>
      </w:r>
      <w:r>
        <w:t xml:space="preserve">Name: 3</w:t>
      </w:r>
    </w:p>
    <w:p>
      <w:r>
        <w:pict>
          <v:rect style="width:0;height:1.5pt" o:hralign="center" o:hrstd="t" o:hr="t"/>
        </w:pict>
      </w:r>
    </w:p>
    <w:p>
      <w:pPr>
        <w:pStyle w:val="FirstParagraph"/>
      </w:pPr>
      <w:r>
        <w:t xml:space="preserve">, Member Date:</w:t>
      </w:r>
    </w:p>
    <w:p>
      <w:r>
        <w:pict>
          <v:rect style="width:0;height:1.5pt" o:hralign="center" o:hrstd="t" o:hr="t"/>
        </w:pict>
      </w:r>
    </w:p>
    <w:p>
      <w:pPr>
        <w:pStyle w:val="FirstParagraph"/>
      </w:pPr>
      <w:r>
        <w:br/>
      </w:r>
    </w:p>
    <w:p>
      <w:pPr>
        <w:pStyle w:val="BodyText"/>
      </w:pPr>
      <w:r>
        <w:rPr>
          <w:b/>
          <w:bCs/>
        </w:rPr>
        <w:t xml:space="preserve">Certificate</w:t>
      </w:r>
      <w:r>
        <w:br/>
      </w:r>
    </w:p>
    <w:p>
      <w:pPr>
        <w:pStyle w:val="BodyText"/>
      </w:pPr>
      <w:r>
        <w:t xml:space="preserve">This is to certify that the thesis entitled</w:t>
      </w:r>
      <w:r>
        <w:t xml:space="preserve"> </w:t>
      </w:r>
      <w:r>
        <w:t xml:space="preserve">“REAL-TIME BIDIRECTIONAL CONTINUOUS SIGN LANGUAGE INTERPRETATION USING DEEP LEARNING”</w:t>
      </w:r>
      <w:r>
        <w:t xml:space="preserve">, submitted by ARCHIE NARAYAN to Indian Institute of Technology Patna, is a record of bonafide research work under my (our) supervision and I (we) consider it worthy of consideration for the degree of Master of Technology of this Institute. This work or a part has not been submitted to any university/institution for the award of degree/diploma. The thesis is free from plagiarized material.</w:t>
      </w:r>
    </w:p>
    <w:p>
      <w:r>
        <w:pict>
          <v:rect style="width:0;height:1.5pt" o:hralign="center" o:hrstd="t" o:hr="t"/>
        </w:pict>
      </w:r>
    </w:p>
    <w:p>
      <w:pPr>
        <w:pStyle w:val="FirstParagraph"/>
      </w:pPr>
      <w:r>
        <w:br/>
      </w:r>
      <w:r>
        <w:t xml:space="preserve">Supervisor</w:t>
      </w:r>
      <w:r>
        <w:br/>
      </w:r>
      <w:r>
        <w:t xml:space="preserve">Date:</w:t>
      </w:r>
    </w:p>
    <w:p>
      <w:r>
        <w:pict>
          <v:rect style="width:0;height:1.5pt" o:hralign="center" o:hrstd="t" o:hr="t"/>
        </w:pict>
      </w:r>
    </w:p>
    <w:p>
      <w:pPr>
        <w:pStyle w:val="FirstParagraph"/>
      </w:pPr>
      <w:r>
        <w:rPr>
          <w:b/>
          <w:bCs/>
        </w:rPr>
        <w:t xml:space="preserve">Declaration</w:t>
      </w:r>
      <w:r>
        <w:br/>
      </w:r>
    </w:p>
    <w:p>
      <w:pPr>
        <w:pStyle w:val="BodyText"/>
      </w:pPr>
      <w:r>
        <w:t xml:space="preserve">I certify that</w:t>
      </w:r>
      <w:r>
        <w:br/>
      </w:r>
      <w:r>
        <w:t xml:space="preserve">a. The work contained in this thesis is original and has been done by myself under the general supervision of my supervisor/s.</w:t>
      </w:r>
      <w:r>
        <w:br/>
      </w:r>
      <w:r>
        <w:t xml:space="preserve">b. The work has not been submitted to any other Institute for degree or diploma.</w:t>
      </w:r>
      <w:r>
        <w:br/>
      </w:r>
      <w:r>
        <w:t xml:space="preserve">c. I have followed the Institute norms and guidelines and abide by the regulation as given in the Ethical Code of Conduct of the Institute.</w:t>
      </w:r>
      <w:r>
        <w:br/>
      </w:r>
      <w:r>
        <w:t xml:space="preserve">d. Whenever I have used materials (data, theory and text) from other sources, I have given due credit to them by citing them in the text of the thesis and giving their details in the reference section.</w:t>
      </w:r>
      <w:r>
        <w:br/>
      </w:r>
      <w:r>
        <w:t xml:space="preserve">e. The thesis document has been thoroughly checked to exclude plagiarism.</w:t>
      </w:r>
    </w:p>
    <w:p>
      <w:r>
        <w:pict>
          <v:rect style="width:0;height:1.5pt" o:hralign="center" o:hrstd="t" o:hr="t"/>
        </w:pict>
      </w:r>
    </w:p>
    <w:p>
      <w:pPr>
        <w:pStyle w:val="FirstParagraph"/>
      </w:pPr>
      <w:r>
        <w:br/>
      </w:r>
      <w:r>
        <w:t xml:space="preserve">Signature of the Student</w:t>
      </w:r>
      <w:r>
        <w:br/>
      </w:r>
      <w:r>
        <w:t xml:space="preserve">Roll No: 24A03RES119</w:t>
      </w:r>
    </w:p>
    <w:p>
      <w:pPr>
        <w:pStyle w:val="BodyText"/>
      </w:pPr>
      <w:r>
        <w:rPr>
          <w:b/>
          <w:bCs/>
        </w:rPr>
        <w:t xml:space="preserve">ACKNOWLEDGEMENTS</w:t>
      </w:r>
      <w:r>
        <w:br/>
      </w:r>
    </w:p>
    <w:p>
      <w:pPr>
        <w:pStyle w:val="BodyText"/>
      </w:pPr>
      <w:r>
        <w:t xml:space="preserve">I would like to express my sincere gratitude to my supervisor for their invaluable guidance, patience, and support throughout this project. I also thank the Indian Institute of Technology Patna for providing the computational resources necessary for training the deep learning models used in this research.</w:t>
      </w:r>
    </w:p>
    <w:p>
      <w:pPr>
        <w:pStyle w:val="BodyText"/>
      </w:pPr>
      <w:r>
        <w:t xml:space="preserve">Special thanks to the creators of the RWTH-PHOENIX-Weather 2014 dataset for making their high-quality annotated data publicly available for research purposes, which formed the foundational basis of this work.</w:t>
      </w:r>
    </w:p>
    <w:p>
      <w:pPr>
        <w:pStyle w:val="BodyText"/>
      </w:pPr>
      <w:r>
        <w:rPr>
          <w:b/>
          <w:bCs/>
        </w:rPr>
        <w:t xml:space="preserve">LIST OF SYMBOLS AND ABBREVIATIONS</w:t>
      </w:r>
      <w:r>
        <w:br/>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Abbreviation</w:t>
            </w:r>
          </w:p>
        </w:tc>
        <w:tc>
          <w:tcPr/>
          <w:p>
            <w:pPr>
              <w:pStyle w:val="Compact"/>
              <w:jc w:val="left"/>
            </w:pPr>
            <w:r>
              <w:rPr>
                <w:b/>
                <w:bCs/>
              </w:rPr>
              <w:t xml:space="preserve">What it means</w:t>
            </w:r>
          </w:p>
        </w:tc>
      </w:tr>
      <w:tr>
        <w:tc>
          <w:tcPr/>
          <w:p>
            <w:pPr>
              <w:pStyle w:val="Compact"/>
              <w:jc w:val="left"/>
            </w:pPr>
            <w:r>
              <w:t xml:space="preserve">ASR</w:t>
            </w:r>
          </w:p>
        </w:tc>
        <w:tc>
          <w:tcPr/>
          <w:p>
            <w:pPr>
              <w:pStyle w:val="Compact"/>
              <w:jc w:val="left"/>
            </w:pPr>
            <w:r>
              <w:t xml:space="preserve">Automatic Speech Recognition</w:t>
            </w:r>
          </w:p>
        </w:tc>
      </w:tr>
      <w:tr>
        <w:tc>
          <w:tcPr/>
          <w:p>
            <w:pPr>
              <w:pStyle w:val="Compact"/>
              <w:jc w:val="left"/>
            </w:pPr>
            <w:r>
              <w:t xml:space="preserve">CNN</w:t>
            </w:r>
          </w:p>
        </w:tc>
        <w:tc>
          <w:tcPr/>
          <w:p>
            <w:pPr>
              <w:pStyle w:val="Compact"/>
              <w:jc w:val="left"/>
            </w:pPr>
            <w:r>
              <w:t xml:space="preserve">Convolutional Neural Network</w:t>
            </w:r>
          </w:p>
        </w:tc>
      </w:tr>
      <w:tr>
        <w:tc>
          <w:tcPr/>
          <w:p>
            <w:pPr>
              <w:pStyle w:val="Compact"/>
              <w:jc w:val="left"/>
            </w:pPr>
            <w:r>
              <w:t xml:space="preserve">CSLR</w:t>
            </w:r>
          </w:p>
        </w:tc>
        <w:tc>
          <w:tcPr/>
          <w:p>
            <w:pPr>
              <w:pStyle w:val="Compact"/>
              <w:jc w:val="left"/>
            </w:pPr>
            <w:r>
              <w:t xml:space="preserve">Continuous Sign Language Recognition</w:t>
            </w:r>
          </w:p>
        </w:tc>
      </w:tr>
      <w:tr>
        <w:tc>
          <w:tcPr/>
          <w:p>
            <w:pPr>
              <w:pStyle w:val="Compact"/>
              <w:jc w:val="left"/>
            </w:pPr>
            <w:r>
              <w:t xml:space="preserve">CTC</w:t>
            </w:r>
          </w:p>
        </w:tc>
        <w:tc>
          <w:tcPr/>
          <w:p>
            <w:pPr>
              <w:pStyle w:val="Compact"/>
              <w:jc w:val="left"/>
            </w:pPr>
            <w:r>
              <w:t xml:space="preserve">Connectionist Temporal Classification</w:t>
            </w:r>
          </w:p>
        </w:tc>
      </w:tr>
      <w:tr>
        <w:tc>
          <w:tcPr/>
          <w:p>
            <w:pPr>
              <w:pStyle w:val="Compact"/>
              <w:jc w:val="left"/>
            </w:pPr>
            <w:r>
              <w:t xml:space="preserve">DGS</w:t>
            </w:r>
          </w:p>
        </w:tc>
        <w:tc>
          <w:tcPr/>
          <w:p>
            <w:pPr>
              <w:pStyle w:val="Compact"/>
              <w:jc w:val="left"/>
            </w:pPr>
            <w:r>
              <w:t xml:space="preserve">German Sign Language (Deutsche Gebärdensprache)</w:t>
            </w:r>
          </w:p>
        </w:tc>
      </w:tr>
      <w:tr>
        <w:tc>
          <w:tcPr/>
          <w:p>
            <w:pPr>
              <w:pStyle w:val="Compact"/>
              <w:jc w:val="left"/>
            </w:pPr>
            <w:r>
              <w:t xml:space="preserve">FPS</w:t>
            </w:r>
          </w:p>
        </w:tc>
        <w:tc>
          <w:tcPr/>
          <w:p>
            <w:pPr>
              <w:pStyle w:val="Compact"/>
              <w:jc w:val="left"/>
            </w:pPr>
            <w:r>
              <w:t xml:space="preserve">Frames Per Second</w:t>
            </w:r>
          </w:p>
        </w:tc>
      </w:tr>
      <w:tr>
        <w:tc>
          <w:tcPr/>
          <w:p>
            <w:pPr>
              <w:pStyle w:val="Compact"/>
              <w:jc w:val="left"/>
            </w:pPr>
            <w:r>
              <w:t xml:space="preserve">GAN</w:t>
            </w:r>
          </w:p>
        </w:tc>
        <w:tc>
          <w:tcPr/>
          <w:p>
            <w:pPr>
              <w:pStyle w:val="Compact"/>
              <w:jc w:val="left"/>
            </w:pPr>
            <w:r>
              <w:t xml:space="preserve">Generative Adversarial Network</w:t>
            </w:r>
          </w:p>
        </w:tc>
      </w:tr>
      <w:tr>
        <w:tc>
          <w:tcPr/>
          <w:p>
            <w:pPr>
              <w:pStyle w:val="Compact"/>
              <w:jc w:val="left"/>
            </w:pPr>
            <w:r>
              <w:t xml:space="preserve">HMM</w:t>
            </w:r>
          </w:p>
        </w:tc>
        <w:tc>
          <w:tcPr/>
          <w:p>
            <w:pPr>
              <w:pStyle w:val="Compact"/>
              <w:jc w:val="left"/>
            </w:pPr>
            <w:r>
              <w:t xml:space="preserve">Hidden Markov Model</w:t>
            </w:r>
          </w:p>
        </w:tc>
      </w:tr>
      <w:tr>
        <w:tc>
          <w:tcPr/>
          <w:p>
            <w:pPr>
              <w:pStyle w:val="Compact"/>
              <w:jc w:val="left"/>
            </w:pPr>
            <w:r>
              <w:t xml:space="preserve">RNN</w:t>
            </w:r>
          </w:p>
        </w:tc>
        <w:tc>
          <w:tcPr/>
          <w:p>
            <w:pPr>
              <w:pStyle w:val="Compact"/>
              <w:jc w:val="left"/>
            </w:pPr>
            <w:r>
              <w:t xml:space="preserve">Recurrent Neural Network</w:t>
            </w:r>
          </w:p>
        </w:tc>
      </w:tr>
      <w:tr>
        <w:tc>
          <w:tcPr/>
          <w:p>
            <w:pPr>
              <w:pStyle w:val="Compact"/>
              <w:jc w:val="left"/>
            </w:pPr>
            <w:r>
              <w:t xml:space="preserve">SLR</w:t>
            </w:r>
          </w:p>
        </w:tc>
        <w:tc>
          <w:tcPr/>
          <w:p>
            <w:pPr>
              <w:pStyle w:val="Compact"/>
              <w:jc w:val="left"/>
            </w:pPr>
            <w:r>
              <w:t xml:space="preserve">Sign Language Recognition</w:t>
            </w:r>
          </w:p>
        </w:tc>
      </w:tr>
      <w:tr>
        <w:tc>
          <w:tcPr/>
          <w:p>
            <w:pPr>
              <w:pStyle w:val="Compact"/>
              <w:jc w:val="left"/>
            </w:pPr>
            <w:r>
              <w:t xml:space="preserve">SLP</w:t>
            </w:r>
          </w:p>
        </w:tc>
        <w:tc>
          <w:tcPr/>
          <w:p>
            <w:pPr>
              <w:pStyle w:val="Compact"/>
              <w:jc w:val="left"/>
            </w:pPr>
            <w:r>
              <w:t xml:space="preserve">Sign Language Production</w:t>
            </w:r>
          </w:p>
        </w:tc>
      </w:tr>
      <w:tr>
        <w:tc>
          <w:tcPr/>
          <w:p>
            <w:pPr>
              <w:pStyle w:val="Compact"/>
              <w:jc w:val="left"/>
            </w:pPr>
            <w:r>
              <w:t xml:space="preserve">SOTA</w:t>
            </w:r>
          </w:p>
        </w:tc>
        <w:tc>
          <w:tcPr/>
          <w:p>
            <w:pPr>
              <w:pStyle w:val="Compact"/>
              <w:jc w:val="left"/>
            </w:pPr>
            <w:r>
              <w:t xml:space="preserve">State of the Art</w:t>
            </w:r>
          </w:p>
        </w:tc>
      </w:tr>
      <w:tr>
        <w:tc>
          <w:tcPr/>
          <w:p>
            <w:pPr>
              <w:pStyle w:val="Compact"/>
              <w:jc w:val="left"/>
            </w:pPr>
            <w:r>
              <w:t xml:space="preserve">VAC</w:t>
            </w:r>
          </w:p>
        </w:tc>
        <w:tc>
          <w:tcPr/>
          <w:p>
            <w:pPr>
              <w:pStyle w:val="Compact"/>
              <w:jc w:val="left"/>
            </w:pPr>
            <w:r>
              <w:t xml:space="preserve">Visual Alignment Constraint</w:t>
            </w:r>
          </w:p>
        </w:tc>
      </w:tr>
      <w:tr>
        <w:tc>
          <w:tcPr/>
          <w:p>
            <w:pPr>
              <w:pStyle w:val="Compact"/>
              <w:jc w:val="left"/>
            </w:pPr>
            <w:r>
              <w:t xml:space="preserve">WER</w:t>
            </w:r>
          </w:p>
        </w:tc>
        <w:tc>
          <w:tcPr/>
          <w:p>
            <w:pPr>
              <w:pStyle w:val="Compact"/>
              <w:jc w:val="left"/>
            </w:pPr>
            <w:r>
              <w:t xml:space="preserve">Word Error Rate</w:t>
            </w:r>
          </w:p>
        </w:tc>
      </w:tr>
    </w:tbl>
    <w:p>
      <w:pPr>
        <w:pStyle w:val="BodyText"/>
      </w:pPr>
      <w:r>
        <w:rPr>
          <w:b/>
          <w:bCs/>
        </w:rPr>
        <w:t xml:space="preserve">ABSTRACT</w:t>
      </w:r>
      <w:r>
        <w:br/>
      </w:r>
    </w:p>
    <w:p>
      <w:pPr>
        <w:pStyle w:val="BodyText"/>
      </w:pPr>
      <w:r>
        <w:t xml:space="preserve">Sign language serves as the primary mode of communication for over 70 million deaf and hard-of-hearing individuals worldwide. However, the communication barrier between sign language users and the hearing population remains a significant challenge. This project presents a comprehensive deep learning-based system for bidirectional continuous sign language interpretation, enabling seamless communication in both directions.</w:t>
      </w:r>
    </w:p>
    <w:p>
      <w:pPr>
        <w:pStyle w:val="BodyText"/>
      </w:pPr>
      <w:r>
        <w:t xml:space="preserve">The system comprises two main pipelines: (1) Sign Language Recognition (SLR), which converts continuous sign language videos to text, and (2) Sign Language Production (SLP), which converts text or speech to sign language videos. For the SLR component, a Hybrid CTC and Attention Transformer architecture was implemented and trained on the RWTH-PHOENIX-Weather 2014 dataset. This architecture achieved a Word Error Rate (WER) of 50.91% on the test set. By combining a pretrained ResNet-18 Convolutional Neural Network backbone with a 6-layer Transformer encoder, and utilizing joint CTC and cross-entropy losses, the common issue of CTC collapse was successfully mitigated.</w:t>
      </w:r>
    </w:p>
    <w:p>
      <w:pPr>
        <w:pStyle w:val="BodyText"/>
      </w:pPr>
      <w:r>
        <w:t xml:space="preserve">For the SLP component, a retrieval-based video synthesis system was developed. This system translates text to gloss sequences and retrieves corresponding sign video segments from an indexed database, executing smooth real-time text-to-sign conversion. Live interactive demonstrations utilizing standard web cameras validate the real-world functionality of the proposed framework.</w:t>
      </w:r>
    </w:p>
    <w:p>
      <w:pPr>
        <w:pStyle w:val="BodyText"/>
      </w:pPr>
      <w:r>
        <w:rPr>
          <w:b/>
          <w:bCs/>
        </w:rPr>
        <w:t xml:space="preserve">Keywords</w:t>
      </w:r>
      <w:r>
        <w:t xml:space="preserve">: Sign Language Recognition, Continuous Sign Language, Connectionist Temporal Classification, Transformer, Attention Mechanism, Deep Learning, PHOENIX-2014</w:t>
      </w:r>
    </w:p>
    <w:p>
      <w:pPr>
        <w:pStyle w:val="BodyText"/>
      </w:pPr>
      <w:r>
        <w:rPr>
          <w:b/>
          <w:bCs/>
        </w:rPr>
        <w:t xml:space="preserve">Student</w:t>
      </w:r>
      <w:r>
        <w:t xml:space="preserve">: Archie Narayan</w:t>
      </w:r>
      <w:r>
        <w:t xml:space="preserve"> </w:t>
      </w:r>
      <w:r>
        <w:rPr>
          <w:b/>
          <w:bCs/>
        </w:rPr>
        <w:t xml:space="preserve">Supervisor</w:t>
      </w:r>
      <w:r>
        <w:t xml:space="preserve">:</w:t>
      </w:r>
    </w:p>
    <w:bookmarkStart w:id="13" w:name="introduction"/>
    <w:p>
      <w:pPr>
        <w:pStyle w:val="Heading1"/>
      </w:pPr>
      <w:r>
        <w:t xml:space="preserve">INTRODUCTION</w:t>
      </w:r>
    </w:p>
    <w:bookmarkStart w:id="9" w:name="background-and-motivation"/>
    <w:p>
      <w:pPr>
        <w:pStyle w:val="Heading2"/>
      </w:pPr>
      <w:r>
        <w:t xml:space="preserve">Background and Motivation</w:t>
      </w:r>
    </w:p>
    <w:p>
      <w:pPr>
        <w:pStyle w:val="FirstParagraph"/>
      </w:pPr>
      <w:r>
        <w:t xml:space="preserve">According to the World Health Organization, approximately 466 million people worldwide experience disabling hearing loss. For deaf communities spanning the globe, sign language serves as the primary, and often exclusively natural, mode of communication. Sign language is not merely a visual encoding of spoken words; it is a fully autonomous linguistic system characterized by its own complex grammar, fluid syntax, and rich spatial-temporal dependencies.</w:t>
      </w:r>
    </w:p>
    <w:p>
      <w:pPr>
        <w:pStyle w:val="BodyText"/>
      </w:pPr>
      <w:r>
        <w:t xml:space="preserve">Despite the critical importance of sign language, a severe shortage of qualified sign language interpreters creates widespread, systemic barriers. Deaf individuals frequently encounter overwhelming obstacles in educational institutions, healthcare facilities, governmental interactions, and routine social environments. This communication gap isolates the deaf community from the hearing population, necessitating technological interventions to build accessible conversational bridges.</w:t>
      </w:r>
    </w:p>
    <w:p>
      <w:pPr>
        <w:pStyle w:val="BodyText"/>
      </w:pPr>
      <w:r>
        <w:t xml:space="preserve">Advances in deep learning and computer vision have opened new possibilities for automated sign language interpretation. Early research largely focused on isolated sign recognition, successfully categorizing distinct, pre-segmented gestures in controlled environments. However, real-world communication does not occur in isolated segments. Continuous Sign Language Recognition (CSLR) deals with connected signs flowing in natural sentences, presenting drastically more complex spatial-temporal modeling requirements.</w:t>
      </w:r>
    </w:p>
    <w:bookmarkEnd w:id="9"/>
    <w:bookmarkStart w:id="10" w:name="technical-challenges"/>
    <w:p>
      <w:pPr>
        <w:pStyle w:val="Heading2"/>
      </w:pPr>
      <w:r>
        <w:t xml:space="preserve">Technical Challenges</w:t>
      </w:r>
    </w:p>
    <w:p>
      <w:pPr>
        <w:pStyle w:val="FirstParagraph"/>
      </w:pPr>
      <w:r>
        <w:t xml:space="preserve">The transition from isolated gesture recognition to continuous unsegmented sequence translation presents distinct computer vision and machine learning challenges:</w:t>
      </w:r>
    </w:p>
    <w:p>
      <w:pPr>
        <w:numPr>
          <w:ilvl w:val="0"/>
          <w:numId w:val="1001"/>
        </w:numPr>
      </w:pPr>
      <w:r>
        <w:rPr>
          <w:b/>
          <w:bCs/>
        </w:rPr>
        <w:t xml:space="preserve">Sequence Segmentation</w:t>
      </w:r>
      <w:r>
        <w:t xml:space="preserve">: Variable-length video sequences lack explicit word boundaries, demanding models that can implicitly learn temporal alignments between hundreds of video frames and corresponding gloss vocabularies.</w:t>
      </w:r>
    </w:p>
    <w:p>
      <w:pPr>
        <w:numPr>
          <w:ilvl w:val="0"/>
          <w:numId w:val="1001"/>
        </w:numPr>
      </w:pPr>
      <w:r>
        <w:rPr>
          <w:b/>
          <w:bCs/>
        </w:rPr>
        <w:t xml:space="preserve">Co-articulation Effects</w:t>
      </w:r>
      <w:r>
        <w:t xml:space="preserve">: The physical trajectory of a sign is heavily influenced by the preceding and succeeding signs. This co-articulation alters the visual appearance of identical vocabulary words depending entirely on their contextual sentence placement.</w:t>
      </w:r>
    </w:p>
    <w:p>
      <w:pPr>
        <w:numPr>
          <w:ilvl w:val="0"/>
          <w:numId w:val="1001"/>
        </w:numPr>
      </w:pPr>
      <w:r>
        <w:rPr>
          <w:b/>
          <w:bCs/>
        </w:rPr>
        <w:t xml:space="preserve">High Intra-Class Variance</w:t>
      </w:r>
      <w:r>
        <w:t xml:space="preserve">: Signers exhibit extreme variations in signing speed, spatial style, facial expressions, and physical body proportions.</w:t>
      </w:r>
    </w:p>
    <w:p>
      <w:pPr>
        <w:numPr>
          <w:ilvl w:val="0"/>
          <w:numId w:val="1001"/>
        </w:numPr>
      </w:pPr>
      <w:r>
        <w:rPr>
          <w:b/>
          <w:bCs/>
        </w:rPr>
        <w:t xml:space="preserve">Motion Blur and Occlusion</w:t>
      </w:r>
      <w:r>
        <w:t xml:space="preserve">: Rapid hand and finger movements frequently result in heavy motion blur, self-occlusion, or out-of-frame trajectories, obfuscating critical semantic features.</w:t>
      </w:r>
    </w:p>
    <w:p>
      <w:pPr>
        <w:numPr>
          <w:ilvl w:val="0"/>
          <w:numId w:val="1001"/>
        </w:numPr>
      </w:pPr>
      <w:r>
        <w:rPr>
          <w:b/>
          <w:bCs/>
        </w:rPr>
        <w:t xml:space="preserve">Data Scarcity</w:t>
      </w:r>
      <w:r>
        <w:t xml:space="preserve">: Unlike automatic speech recognition (ASR) which boasts tens of thousands of hours of annotated audio, continuous sign language datasets remain relatively small, making high-capacity deep learning approaches exceptionally susceptible to catastrophic overfitting.</w:t>
      </w:r>
    </w:p>
    <w:bookmarkEnd w:id="10"/>
    <w:bookmarkStart w:id="11" w:name="problem-statement"/>
    <w:p>
      <w:pPr>
        <w:pStyle w:val="Heading2"/>
      </w:pPr>
      <w:r>
        <w:t xml:space="preserve">Problem Statement</w:t>
      </w:r>
    </w:p>
    <w:p>
      <w:pPr>
        <w:pStyle w:val="FirstParagraph"/>
      </w:pPr>
      <w:r>
        <w:t xml:space="preserve">The development of a practical CSLR system hinges on effectively resolving the temporal alignment bottleneck. Historically, researchers mapped visual frame extractions to text using pure Connectionist Temporal Classification (CTC) models. However, when deployed in low-data regimes typical of sign language datasets, pure CTC models suffer from a mathematical deterioration known as "CTC collapse"</w:t>
      </w:r>
      <w:r>
        <w:t xml:space="preserve"> </w:t>
      </w:r>
      <w:r>
        <w:t xml:space="preserve">. Driven by the abundance of uninformative transition frames, the model falls into a severe local minimum, learning a trivial solution where it exclusively outputs blank tokens across the entire sequence. This results in an absolute 100% Word Error Rate (WER).</w:t>
      </w:r>
    </w:p>
    <w:p>
      <w:pPr>
        <w:pStyle w:val="BodyText"/>
      </w:pPr>
      <w:r>
        <w:t xml:space="preserve">Furthermore, modeling sign language sentences requires capturing deep long-range temporal dependencies. Standard recurrent neural networks gradually lose historical context over sequences spanning hundreds of video frames. Finally, establishing a unidirectional system (Sign-to-Text) only solves half the communication barrier; true accessibility demands a bidirectional framework capable of rendering text back into Signed Video.</w:t>
      </w:r>
    </w:p>
    <w:p>
      <w:pPr>
        <w:pStyle w:val="BodyText"/>
      </w:pPr>
      <w:r>
        <w:t xml:space="preserve">This thesis project addresses these structural limitations by engineering an innovative Hybrid CTC and Attention Transformer architecture</w:t>
      </w:r>
      <w:r>
        <w:t xml:space="preserve"> </w:t>
      </w:r>
      <w:r>
        <w:t xml:space="preserve">. By bridging both alignment mechanisms concurrently during the gradient update phases, the system reliably avoids collapse while establishing powerful autoregressive generation constraints.</w:t>
      </w:r>
    </w:p>
    <w:bookmarkEnd w:id="11"/>
    <w:bookmarkStart w:id="12" w:name="objectives-and-hypotheses"/>
    <w:p>
      <w:pPr>
        <w:pStyle w:val="Heading2"/>
      </w:pPr>
      <w:r>
        <w:t xml:space="preserve">Objectives and Hypotheses</w:t>
      </w:r>
    </w:p>
    <w:p>
      <w:pPr>
        <w:pStyle w:val="FirstParagraph"/>
      </w:pPr>
      <w:r>
        <w:t xml:space="preserve">The primary objectives forming the scope of this experimental research are defined as follows:</w:t>
      </w:r>
    </w:p>
    <w:p>
      <w:pPr>
        <w:numPr>
          <w:ilvl w:val="0"/>
          <w:numId w:val="1002"/>
        </w:numPr>
      </w:pPr>
      <w:r>
        <w:rPr>
          <w:b/>
          <w:bCs/>
        </w:rPr>
        <w:t xml:space="preserve">Architectural Stability</w:t>
      </w:r>
      <w:r>
        <w:t xml:space="preserve">: Develop a robust hybrid CSLR system utilizing a deep Convolutional Neural Network backbone paired with an Attention-based Transformer encoder-decoder framework. The primary objective is to categorically prevent CTC collapse during extreme unsegmented alignment tasks.</w:t>
      </w:r>
    </w:p>
    <w:p>
      <w:pPr>
        <w:numPr>
          <w:ilvl w:val="0"/>
          <w:numId w:val="1002"/>
        </w:numPr>
      </w:pPr>
      <w:r>
        <w:rPr>
          <w:b/>
          <w:bCs/>
        </w:rPr>
        <w:t xml:space="preserve">Benchmark Performance</w:t>
      </w:r>
      <w:r>
        <w:t xml:space="preserve">: Establish competitive transcription accuracy on the universally recognized RWTH-PHOENIX-Weather 2014 dataset, mitigating hardware-induced batch size limitations.</w:t>
      </w:r>
    </w:p>
    <w:p>
      <w:pPr>
        <w:numPr>
          <w:ilvl w:val="0"/>
          <w:numId w:val="1002"/>
        </w:numPr>
      </w:pPr>
      <w:r>
        <w:rPr>
          <w:b/>
          <w:bCs/>
        </w:rPr>
        <w:t xml:space="preserve">Bidirectional Interpretation</w:t>
      </w:r>
      <w:r>
        <w:t xml:space="preserve">: Implement a closed-loop interpretation system capable of recognizing continuous sign language into text, and conversely traversing semantic constraints to assemble retrieved sign video segments from real-time text input.</w:t>
      </w:r>
    </w:p>
    <w:p>
      <w:pPr>
        <w:numPr>
          <w:ilvl w:val="0"/>
          <w:numId w:val="1002"/>
        </w:numPr>
      </w:pPr>
      <w:r>
        <w:rPr>
          <w:b/>
          <w:bCs/>
        </w:rPr>
        <w:t xml:space="preserve">Practical Deployment</w:t>
      </w:r>
      <w:r>
        <w:t xml:space="preserve">: Engineer an interactive, real-time graphical user interface (GUI) unifying both the camera-based recognition neural networks and the text-to-video synthesis pipeline into a single demonstrable client.</w:t>
      </w:r>
    </w:p>
    <w:bookmarkEnd w:id="12"/>
    <w:bookmarkEnd w:id="13"/>
    <w:bookmarkStart w:id="20" w:name="literature-review"/>
    <w:p>
      <w:pPr>
        <w:pStyle w:val="Heading1"/>
      </w:pPr>
      <w:r>
        <w:t xml:space="preserve">LITERATURE REVIEW</w:t>
      </w:r>
    </w:p>
    <w:bookmarkStart w:id="14" w:name="evolution-of-sign-language-recognition"/>
    <w:p>
      <w:pPr>
        <w:pStyle w:val="Heading2"/>
      </w:pPr>
      <w:r>
        <w:t xml:space="preserve">Evolution of Sign Language Recognition</w:t>
      </w:r>
    </w:p>
    <w:p>
      <w:pPr>
        <w:pStyle w:val="FirstParagraph"/>
      </w:pPr>
      <w:r>
        <w:t xml:space="preserve">Sign language recognition has evolved significantly over the past decade, shifting from isolated gesture recognition to Continuous Sign Language Recognition (CSLR). Early approaches relied predominantly on hand-crafted features and traditional Hidden Markov Models (HMMs). The introduction of deep learning marked a paradigm shift, treating CSLR as a complex spatial-temporal sequence transduction problem.</w:t>
      </w:r>
    </w:p>
    <w:p>
      <w:pPr>
        <w:pStyle w:val="BodyText"/>
      </w:pPr>
      <w:r>
        <w:t xml:space="preserve">Koller et al.</w:t>
      </w:r>
      <w:r>
        <w:t xml:space="preserve"> </w:t>
      </w:r>
      <w:r>
        <w:t xml:space="preserve"> </w:t>
      </w:r>
      <w:r>
        <w:t xml:space="preserve">established one of the foundational deep learning pipelines utilizing a CNN-HMM-RNN hybrid system. By applying a Convolutional Neural Network as a spatial feature extractor and pairing it with an HMM to model sequence constraints, they achieved a Word Error Rate (WER) of 26.8% on the challenging RWTH-PHOENIX-Weather 2014 dataset. This work effectively demonstrated that framing CSLR with statistical speech recognition techniques could yield highly accurate large-vocabulary models.</w:t>
      </w:r>
    </w:p>
    <w:bookmarkEnd w:id="14"/>
    <w:bookmarkStart w:id="15" w:name="X4e2f4ca3424c83f2f36cc9565fb525570c749ca"/>
    <w:p>
      <w:pPr>
        <w:pStyle w:val="Heading2"/>
      </w:pPr>
      <w:r>
        <w:t xml:space="preserve">Connectionist Temporal Classification (CTC) Approaches</w:t>
      </w:r>
    </w:p>
    <w:p>
      <w:pPr>
        <w:pStyle w:val="FirstParagraph"/>
      </w:pPr>
      <w:r>
        <w:t xml:space="preserve">As the field progressed towards fully end-to-end architectures, Connectionist Temporal Classification (CTC)</w:t>
      </w:r>
      <w:r>
        <w:t xml:space="preserve"> </w:t>
      </w:r>
      <w:r>
        <w:t xml:space="preserve"> </w:t>
      </w:r>
      <w:r>
        <w:t xml:space="preserve">became the standard loss framework. CTC enables the training of sequence-to-sequence models without requiring fine-grained, frame-level alignments in the dataset. It operates by marginalizing the probabilities over all possible valid token alignments between the input video frames and the output glosses.</w:t>
      </w:r>
    </w:p>
    <w:p>
      <w:pPr>
        <w:pStyle w:val="BodyText"/>
      </w:pPr>
      <w:r>
        <w:t xml:space="preserve">While CTC simplified the training pipeline, pure CTC models frequently suffer from the "CTC collapse" problem in low-data regimes. The model falls into a local minimum where it exclusively outputs blank tokens to minimize the loss artificially.</w:t>
      </w:r>
    </w:p>
    <w:bookmarkEnd w:id="15"/>
    <w:bookmarkStart w:id="16" w:name="visual-alignment-and-feature-constraints"/>
    <w:p>
      <w:pPr>
        <w:pStyle w:val="Heading2"/>
      </w:pPr>
      <w:r>
        <w:t xml:space="preserve">Visual Alignment and Feature Constraints</w:t>
      </w:r>
    </w:p>
    <w:p>
      <w:pPr>
        <w:pStyle w:val="FirstParagraph"/>
      </w:pPr>
      <w:r>
        <w:t xml:space="preserve">To address the inherent weaknesses of CTC’s unconstrained frame alignments, researchers began introducing auxiliary constraints. Zhu et al. (2021)</w:t>
      </w:r>
      <w:r>
        <w:t xml:space="preserve"> </w:t>
      </w:r>
      <w:r>
        <w:t xml:space="preserve"> </w:t>
      </w:r>
      <w:r>
        <w:t xml:space="preserve">proposed the</w:t>
      </w:r>
      <w:r>
        <w:t xml:space="preserve"> </w:t>
      </w:r>
      <w:r>
        <w:rPr>
          <w:b/>
          <w:bCs/>
        </w:rPr>
        <w:t xml:space="preserve">Visual Alignment Constraint (VAC)</w:t>
      </w:r>
      <w:r>
        <w:t xml:space="preserve">. They identified that the feature extractor (typically a CNN backbone) in CSLR networks is often insufficiently trained due to the dominance of the sequence modeling head. To mitigate this, VAC strictly enforces prediction alignment between the spatial feature extractor and the temporal alignment module. By deploying two auxiliary losses that penalize prediction inconsistency, they significantly reduced overfitting, bringing the Test WER down to 21.2% while allowing the network to remain end-to-end trainable.</w:t>
      </w:r>
    </w:p>
    <w:p>
      <w:pPr>
        <w:pStyle w:val="BodyText"/>
      </w:pPr>
      <w:r>
        <w:t xml:space="preserve">More recently, Hu et al. (2023)</w:t>
      </w:r>
      <w:r>
        <w:t xml:space="preserve"> </w:t>
      </w:r>
      <w:r>
        <w:t xml:space="preserve"> </w:t>
      </w:r>
      <w:r>
        <w:t xml:space="preserve">introduced the</w:t>
      </w:r>
      <w:r>
        <w:t xml:space="preserve"> </w:t>
      </w:r>
      <w:r>
        <w:rPr>
          <w:b/>
          <w:bCs/>
        </w:rPr>
        <w:t xml:space="preserve">Correlation Network (CorrNet)</w:t>
      </w:r>
      <w:r>
        <w:t xml:space="preserve">, which set a new benchmark by recognizing that many existing CSLR methods process video frames independently. CorrNet dynamically computes correlation maps between the current frame and its adjacent neighbors, explicitly capturing the human body trajectories (specifically hand and face motion) across consecutive frames. This temporal tracking of spatial patches allowed CorrNet to achieve state-of-the-art (SOTA) performance of 17.8% WER on PHOENIX-2014.</w:t>
      </w:r>
    </w:p>
    <w:bookmarkEnd w:id="16"/>
    <w:bookmarkStart w:id="17" w:name="hybrid-ctc-and-attention-models"/>
    <w:p>
      <w:pPr>
        <w:pStyle w:val="Heading2"/>
      </w:pPr>
      <w:r>
        <w:t xml:space="preserve">Hybrid CTC and Attention Models</w:t>
      </w:r>
    </w:p>
    <w:p>
      <w:pPr>
        <w:pStyle w:val="FirstParagraph"/>
      </w:pPr>
      <w:r>
        <w:t xml:space="preserve">Concurrently, researchers drew inspiration from neural machine translation. Watanabe et al.</w:t>
      </w:r>
      <w:r>
        <w:t xml:space="preserve"> </w:t>
      </w:r>
      <w:r>
        <w:t xml:space="preserve"> </w:t>
      </w:r>
      <w:r>
        <w:t xml:space="preserve">introduced the hybrid CTC/Attention architecture for end-to-end speech recognition. This approach combines the strict monotonic alignment capabilities of CTC with the powerful autoregressive sequence modeling capabilities of attention-based decoders</w:t>
      </w:r>
      <w:r>
        <w:t xml:space="preserve"> </w:t>
      </w:r>
      <w:r>
        <w:t xml:space="preserve">.</w:t>
      </w:r>
    </w:p>
    <w:p>
      <w:pPr>
        <w:pStyle w:val="BodyText"/>
      </w:pPr>
      <w:r>
        <w:t xml:space="preserve">Specifically translating this to continuous sign language, Camgöz et al. (2020)</w:t>
      </w:r>
      <w:r>
        <w:t xml:space="preserve"> </w:t>
      </w:r>
      <w:r>
        <w:t xml:space="preserve"> </w:t>
      </w:r>
      <w:r>
        <w:t xml:space="preserve">published</w:t>
      </w:r>
      <w:r>
        <w:t xml:space="preserve"> </w:t>
      </w:r>
      <w:r>
        <w:rPr>
          <w:b/>
          <w:bCs/>
        </w:rPr>
        <w:t xml:space="preserve">Sign Language Transformers (SLT)</w:t>
      </w:r>
      <w:r>
        <w:t xml:space="preserve">. They identified an information bottleneck where traditional translation models depend entirely on the isolated accuracy of gloss recognition. SLT proposed a novel architecture that jointly learns sign language recognition and translation. By using a CTC loss to bind the dual tasks alongside an attention decoder, the network learns shared representations that eliminate CTC collapse. Their architecture established a new standard, achieving 24.5% WER.</w:t>
      </w:r>
    </w:p>
    <w:bookmarkEnd w:id="17"/>
    <w:bookmarkStart w:id="19" w:name="summary-of-state-of-the-art"/>
    <w:p>
      <w:pPr>
        <w:pStyle w:val="Heading2"/>
      </w:pPr>
      <w:r>
        <w:t xml:space="preserve">Summary of State-of-the-Art</w:t>
      </w:r>
    </w:p>
    <w:p>
      <w:pPr>
        <w:pStyle w:val="FirstParagraph"/>
      </w:pPr>
      <w:r>
        <w:t xml:space="preserve">The progression of CSLR research clearly indicates a trajectory away from unconstrained CTC models towards sophisticated architectures that enforce spatial-temporal constraints.</w:t>
      </w:r>
    </w:p>
    <w:bookmarkStart w:id="18" w:name="tab:sota"/>
    <w:p>
      <w:pPr>
        <w:pStyle w:val="TableCaption"/>
      </w:pPr>
      <w:r>
        <w:t xml:space="preserve">Comparison of State-of-the-Art Methods on PHOENIX-2014</w:t>
      </w:r>
    </w:p>
    <w:tbl>
      <w:tblPr>
        <w:tblStyle w:val="Table"/>
        <w:tblW w:type="auto" w:w="0"/>
        <w:tblLook w:firstRow="1" w:lastRow="0" w:firstColumn="0" w:lastColumn="0" w:noHBand="0" w:noVBand="0" w:val="0020"/>
        <w:tblCaption w:val="Comparison of State-of-the-Art Methods on PHOENIX-2014"/>
      </w:tblPr>
      <w:tblGrid>
        <w:gridCol w:w="1980"/>
        <w:gridCol w:w="1980"/>
        <w:gridCol w:w="1980"/>
        <w:gridCol w:w="1980"/>
      </w:tblGrid>
      <w:tr>
        <w:trPr>
          <w:tblHeader w:val="on"/>
        </w:trPr>
        <w:tc>
          <w:tcPr/>
          <w:p>
            <w:pPr>
              <w:pStyle w:val="Compact"/>
              <w:jc w:val="left"/>
            </w:pPr>
            <w:r>
              <w:rPr>
                <w:b/>
                <w:bCs/>
              </w:rPr>
              <w:t xml:space="preserve">Method</w:t>
            </w:r>
          </w:p>
        </w:tc>
        <w:tc>
          <w:tcPr/>
          <w:p>
            <w:pPr>
              <w:pStyle w:val="Compact"/>
              <w:jc w:val="left"/>
            </w:pPr>
            <w:r>
              <w:rPr>
                <w:b/>
                <w:bCs/>
              </w:rPr>
              <w:t xml:space="preserve">Architecture</w:t>
            </w:r>
          </w:p>
        </w:tc>
        <w:tc>
          <w:tcPr/>
          <w:p>
            <w:pPr>
              <w:pStyle w:val="Compact"/>
              <w:jc w:val="center"/>
            </w:pPr>
            <w:r>
              <w:rPr>
                <w:b/>
                <w:bCs/>
              </w:rPr>
              <w:t xml:space="preserve">Dev WER</w:t>
            </w:r>
          </w:p>
        </w:tc>
        <w:tc>
          <w:tcPr/>
          <w:p>
            <w:pPr>
              <w:pStyle w:val="Compact"/>
              <w:jc w:val="center"/>
            </w:pPr>
            <w:r>
              <w:rPr>
                <w:b/>
                <w:bCs/>
              </w:rPr>
              <w:t xml:space="preserve">Test WER</w:t>
            </w:r>
          </w:p>
        </w:tc>
      </w:tr>
      <w:tr>
        <w:tc>
          <w:tcPr/>
          <w:p>
            <w:pPr>
              <w:pStyle w:val="Compact"/>
              <w:jc w:val="left"/>
            </w:pPr>
            <w:r>
              <w:t xml:space="preserve">Koller et al. (2015)</w:t>
            </w:r>
            <w:r>
              <w:t xml:space="preserve"> </w:t>
            </w:r>
          </w:p>
        </w:tc>
        <w:tc>
          <w:tcPr/>
          <w:p>
            <w:pPr>
              <w:pStyle w:val="Compact"/>
              <w:jc w:val="left"/>
            </w:pPr>
            <w:r>
              <w:t xml:space="preserve">CNN-HMM-RNN</w:t>
            </w:r>
          </w:p>
        </w:tc>
        <w:tc>
          <w:tcPr/>
          <w:p>
            <w:pPr>
              <w:pStyle w:val="Compact"/>
              <w:jc w:val="center"/>
            </w:pPr>
            <w:r>
              <w:t xml:space="preserve">26.0%</w:t>
            </w:r>
          </w:p>
        </w:tc>
        <w:tc>
          <w:tcPr/>
          <w:p>
            <w:pPr>
              <w:pStyle w:val="Compact"/>
              <w:jc w:val="center"/>
            </w:pPr>
            <w:r>
              <w:t xml:space="preserve">26.8%</w:t>
            </w:r>
          </w:p>
        </w:tc>
      </w:tr>
      <w:tr>
        <w:tc>
          <w:tcPr/>
          <w:p>
            <w:pPr>
              <w:pStyle w:val="Compact"/>
              <w:jc w:val="left"/>
            </w:pPr>
            <w:r>
              <w:t xml:space="preserve">Camgöz et al. (2020)</w:t>
            </w:r>
            <w:r>
              <w:t xml:space="preserve"> </w:t>
            </w:r>
          </w:p>
        </w:tc>
        <w:tc>
          <w:tcPr/>
          <w:p>
            <w:pPr>
              <w:pStyle w:val="Compact"/>
              <w:jc w:val="left"/>
            </w:pPr>
            <w:r>
              <w:t xml:space="preserve">Transformer + CTC</w:t>
            </w:r>
          </w:p>
        </w:tc>
        <w:tc>
          <w:tcPr/>
          <w:p>
            <w:pPr>
              <w:pStyle w:val="Compact"/>
              <w:jc w:val="center"/>
            </w:pPr>
            <w:r>
              <w:t xml:space="preserve">21.8%</w:t>
            </w:r>
          </w:p>
        </w:tc>
        <w:tc>
          <w:tcPr/>
          <w:p>
            <w:pPr>
              <w:pStyle w:val="Compact"/>
              <w:jc w:val="center"/>
            </w:pPr>
            <w:r>
              <w:t xml:space="preserve">24.5%</w:t>
            </w:r>
          </w:p>
        </w:tc>
      </w:tr>
      <w:tr>
        <w:tc>
          <w:tcPr/>
          <w:p>
            <w:pPr>
              <w:pStyle w:val="Compact"/>
              <w:jc w:val="left"/>
            </w:pPr>
            <w:r>
              <w:t xml:space="preserve">Zhu et al. (2021)</w:t>
            </w:r>
            <w:r>
              <w:t xml:space="preserve"> </w:t>
            </w:r>
          </w:p>
        </w:tc>
        <w:tc>
          <w:tcPr/>
          <w:p>
            <w:pPr>
              <w:pStyle w:val="Compact"/>
              <w:jc w:val="left"/>
            </w:pPr>
            <w:r>
              <w:t xml:space="preserve">Visual Alignment Constraint</w:t>
            </w:r>
          </w:p>
        </w:tc>
        <w:tc>
          <w:tcPr/>
          <w:p>
            <w:pPr>
              <w:pStyle w:val="Compact"/>
              <w:jc w:val="center"/>
            </w:pPr>
            <w:r>
              <w:t xml:space="preserve">19.3%</w:t>
            </w:r>
          </w:p>
        </w:tc>
        <w:tc>
          <w:tcPr/>
          <w:p>
            <w:pPr>
              <w:pStyle w:val="Compact"/>
              <w:jc w:val="center"/>
            </w:pPr>
            <w:r>
              <w:t xml:space="preserve">21.2%</w:t>
            </w:r>
          </w:p>
        </w:tc>
      </w:tr>
      <w:tr>
        <w:tc>
          <w:tcPr/>
          <w:p>
            <w:pPr>
              <w:pStyle w:val="Compact"/>
              <w:jc w:val="left"/>
            </w:pPr>
            <w:r>
              <w:t xml:space="preserve">Hu et al. (2023)</w:t>
            </w:r>
            <w:r>
              <w:t xml:space="preserve"> </w:t>
            </w:r>
          </w:p>
        </w:tc>
        <w:tc>
          <w:tcPr/>
          <w:p>
            <w:pPr>
              <w:pStyle w:val="Compact"/>
              <w:jc w:val="left"/>
            </w:pPr>
            <w:r>
              <w:t xml:space="preserve">Correlation Network (CorrNet)</w:t>
            </w:r>
          </w:p>
        </w:tc>
        <w:tc>
          <w:tcPr/>
          <w:p>
            <w:pPr>
              <w:pStyle w:val="Compact"/>
              <w:jc w:val="center"/>
            </w:pPr>
            <w:r>
              <w:t xml:space="preserve">17.3%</w:t>
            </w:r>
          </w:p>
        </w:tc>
        <w:tc>
          <w:tcPr/>
          <w:p>
            <w:pPr>
              <w:pStyle w:val="Compact"/>
              <w:jc w:val="center"/>
            </w:pPr>
            <w:r>
              <w:t xml:space="preserve">17.8%</w:t>
            </w:r>
          </w:p>
        </w:tc>
      </w:tr>
      <w:tr>
        <w:tc>
          <w:tcPr/>
          <w:p>
            <w:pPr>
              <w:pStyle w:val="Compact"/>
              <w:jc w:val="left"/>
            </w:pPr>
            <w:r>
              <w:rPr>
                <w:b/>
                <w:bCs/>
              </w:rPr>
              <w:t xml:space="preserve">Ours (Current Run)</w:t>
            </w:r>
          </w:p>
        </w:tc>
        <w:tc>
          <w:tcPr/>
          <w:p>
            <w:pPr>
              <w:pStyle w:val="Compact"/>
              <w:jc w:val="left"/>
            </w:pPr>
            <w:r>
              <w:rPr>
                <w:b/>
                <w:bCs/>
              </w:rPr>
              <w:t xml:space="preserve">Hybrid CTC+Attention</w:t>
            </w:r>
          </w:p>
        </w:tc>
        <w:tc>
          <w:tcPr/>
          <w:p>
            <w:pPr>
              <w:pStyle w:val="Compact"/>
              <w:jc w:val="center"/>
            </w:pPr>
            <w:r>
              <w:rPr>
                <w:b/>
                <w:bCs/>
              </w:rPr>
              <w:t xml:space="preserve">51.44%</w:t>
            </w:r>
          </w:p>
        </w:tc>
        <w:tc>
          <w:tcPr/>
          <w:p>
            <w:pPr>
              <w:pStyle w:val="Compact"/>
              <w:jc w:val="center"/>
            </w:pPr>
            <w:r>
              <w:rPr>
                <w:b/>
                <w:bCs/>
              </w:rPr>
              <w:t xml:space="preserve">50.91%</w:t>
            </w:r>
          </w:p>
        </w:tc>
      </w:tr>
    </w:tbl>
    <w:bookmarkEnd w:id="18"/>
    <w:p>
      <w:pPr>
        <w:pStyle w:val="BodyText"/>
      </w:pPr>
      <w:r>
        <w:t xml:space="preserve">This project directly builds upon the foundational Hybrid CTC/Attention principles demonstrated by Camgöz et al., specifically focusing on stabilizing training within extreme batch-size and computational constraints.</w:t>
      </w:r>
    </w:p>
    <w:bookmarkEnd w:id="19"/>
    <w:bookmarkEnd w:id="20"/>
    <w:bookmarkStart w:id="28" w:name="methodology-and-architecture"/>
    <w:p>
      <w:pPr>
        <w:pStyle w:val="Heading1"/>
      </w:pPr>
      <w:r>
        <w:t xml:space="preserve">METHODOLOGY AND ARCHITECTURE</w:t>
      </w:r>
    </w:p>
    <w:bookmarkStart w:id="22" w:name="dataset-configuration"/>
    <w:p>
      <w:pPr>
        <w:pStyle w:val="Heading2"/>
      </w:pPr>
      <w:r>
        <w:t xml:space="preserve">Dataset Configuration</w:t>
      </w:r>
    </w:p>
    <w:p>
      <w:pPr>
        <w:pStyle w:val="FirstParagraph"/>
      </w:pPr>
      <w:r>
        <w:t xml:space="preserve">This study utilizes the</w:t>
      </w:r>
      <w:r>
        <w:t xml:space="preserve"> </w:t>
      </w:r>
      <w:r>
        <w:rPr>
          <w:b/>
          <w:bCs/>
        </w:rPr>
        <w:t xml:space="preserve">RWTH-PHOENIX-Weather 2014</w:t>
      </w:r>
      <w:r>
        <w:t xml:space="preserve"> </w:t>
      </w:r>
      <w:r>
        <w:t xml:space="preserve">dataset, universally regarded as the standard benchmark for continuous sign language recognition</w:t>
      </w:r>
      <w:r>
        <w:t xml:space="preserve"> </w:t>
      </w:r>
      <w:r>
        <w:t xml:space="preserve">. Recorded from authentic broadcasts on the German public television station PHOENIX, it features multiple professional interpreters executing continuous Deutsche Gebärdensprache (DGS) phrasing.</w:t>
      </w:r>
    </w:p>
    <w:bookmarkStart w:id="21" w:name="tab:dataset"/>
    <w:p>
      <w:pPr>
        <w:pStyle w:val="TableCaption"/>
      </w:pPr>
      <w:r>
        <w:t xml:space="preserve">RWTH-PHOENIX-Weather 2014 Dataset Statistics</w:t>
      </w:r>
    </w:p>
    <w:tbl>
      <w:tblPr>
        <w:tblStyle w:val="Table"/>
        <w:tblW w:type="auto" w:w="0"/>
        <w:tblLook w:firstRow="1" w:lastRow="0" w:firstColumn="0" w:lastColumn="0" w:noHBand="0" w:noVBand="0" w:val="0020"/>
        <w:tblCaption w:val="RWTH-PHOENIX-Weather 2014 Dataset Statistics"/>
      </w:tblPr>
      <w:tblGrid>
        <w:gridCol w:w="3960"/>
        <w:gridCol w:w="3960"/>
      </w:tblGrid>
      <w:tr>
        <w:trPr>
          <w:tblHeader w:val="on"/>
        </w:trPr>
        <w:tc>
          <w:tcPr/>
          <w:p>
            <w:pPr>
              <w:pStyle w:val="Compact"/>
              <w:jc w:val="left"/>
            </w:pPr>
            <w:r>
              <w:rPr>
                <w:b/>
                <w:bCs/>
              </w:rPr>
              <w:t xml:space="preserve">Property</w:t>
            </w:r>
          </w:p>
        </w:tc>
        <w:tc>
          <w:tcPr/>
          <w:p>
            <w:pPr>
              <w:pStyle w:val="Compact"/>
              <w:jc w:val="left"/>
            </w:pPr>
            <w:r>
              <w:rPr>
                <w:b/>
                <w:bCs/>
              </w:rPr>
              <w:t xml:space="preserve">Value</w:t>
            </w:r>
          </w:p>
        </w:tc>
      </w:tr>
      <w:tr>
        <w:tc>
          <w:tcPr/>
          <w:p>
            <w:pPr>
              <w:pStyle w:val="Compact"/>
              <w:jc w:val="left"/>
            </w:pPr>
            <w:r>
              <w:t xml:space="preserve">Language</w:t>
            </w:r>
          </w:p>
        </w:tc>
        <w:tc>
          <w:tcPr/>
          <w:p>
            <w:pPr>
              <w:pStyle w:val="Compact"/>
              <w:jc w:val="left"/>
            </w:pPr>
            <w:r>
              <w:t xml:space="preserve">German Sign Language (DGS)</w:t>
            </w:r>
          </w:p>
        </w:tc>
      </w:tr>
      <w:tr>
        <w:tc>
          <w:tcPr/>
          <w:p>
            <w:pPr>
              <w:pStyle w:val="Compact"/>
              <w:jc w:val="left"/>
            </w:pPr>
            <w:r>
              <w:t xml:space="preserve">Domain</w:t>
            </w:r>
          </w:p>
        </w:tc>
        <w:tc>
          <w:tcPr/>
          <w:p>
            <w:pPr>
              <w:pStyle w:val="Compact"/>
              <w:jc w:val="left"/>
            </w:pPr>
            <w:r>
              <w:t xml:space="preserve">Weather forecasts</w:t>
            </w:r>
          </w:p>
        </w:tc>
      </w:tr>
      <w:tr>
        <w:tc>
          <w:tcPr/>
          <w:p>
            <w:pPr>
              <w:pStyle w:val="Compact"/>
              <w:jc w:val="left"/>
            </w:pPr>
            <w:r>
              <w:t xml:space="preserve">Vocabulary</w:t>
            </w:r>
          </w:p>
        </w:tc>
        <w:tc>
          <w:tcPr/>
          <w:p>
            <w:pPr>
              <w:pStyle w:val="Compact"/>
              <w:jc w:val="left"/>
            </w:pPr>
            <w:r>
              <w:t xml:space="preserve">1,236 unique contextual glosses</w:t>
            </w:r>
          </w:p>
        </w:tc>
      </w:tr>
      <w:tr>
        <w:tc>
          <w:tcPr/>
          <w:p>
            <w:pPr>
              <w:pStyle w:val="Compact"/>
              <w:jc w:val="left"/>
            </w:pPr>
            <w:r>
              <w:t xml:space="preserve">Training samples</w:t>
            </w:r>
          </w:p>
        </w:tc>
        <w:tc>
          <w:tcPr/>
          <w:p>
            <w:pPr>
              <w:pStyle w:val="Compact"/>
              <w:jc w:val="left"/>
            </w:pPr>
            <w:r>
              <w:t xml:space="preserve">5,672 sequences</w:t>
            </w:r>
          </w:p>
        </w:tc>
      </w:tr>
      <w:tr>
        <w:tc>
          <w:tcPr/>
          <w:p>
            <w:pPr>
              <w:pStyle w:val="Compact"/>
              <w:jc w:val="left"/>
            </w:pPr>
            <w:r>
              <w:t xml:space="preserve">Development samples</w:t>
            </w:r>
          </w:p>
        </w:tc>
        <w:tc>
          <w:tcPr/>
          <w:p>
            <w:pPr>
              <w:pStyle w:val="Compact"/>
              <w:jc w:val="left"/>
            </w:pPr>
            <w:r>
              <w:t xml:space="preserve">540 sequences</w:t>
            </w:r>
          </w:p>
        </w:tc>
      </w:tr>
      <w:tr>
        <w:tc>
          <w:tcPr/>
          <w:p>
            <w:pPr>
              <w:pStyle w:val="Compact"/>
              <w:jc w:val="left"/>
            </w:pPr>
            <w:r>
              <w:t xml:space="preserve">Test samples</w:t>
            </w:r>
          </w:p>
        </w:tc>
        <w:tc>
          <w:tcPr/>
          <w:p>
            <w:pPr>
              <w:pStyle w:val="Compact"/>
              <w:jc w:val="left"/>
            </w:pPr>
            <w:r>
              <w:t xml:space="preserve">629 sequences</w:t>
            </w:r>
          </w:p>
        </w:tc>
      </w:tr>
      <w:tr>
        <w:tc>
          <w:tcPr/>
          <w:p>
            <w:pPr>
              <w:pStyle w:val="Compact"/>
              <w:jc w:val="left"/>
            </w:pPr>
            <w:r>
              <w:t xml:space="preserve">Frame dimensions</w:t>
            </w:r>
          </w:p>
        </w:tc>
        <w:tc>
          <w:tcPr/>
          <w:p>
            <w:pPr>
              <w:pStyle w:val="Compact"/>
              <w:jc w:val="left"/>
            </w:pPr>
            <w:r>
              <w:t xml:space="preserve">210</w:t>
            </w:r>
            <w:r>
              <w:t xml:space="preserve"> </w:t>
            </w:r>
            <m:oMath>
              <m:r>
                <m:rPr>
                  <m:sty m:val="p"/>
                </m:rPr>
                <m:t>×</m:t>
              </m:r>
            </m:oMath>
            <w:r>
              <w:t xml:space="preserve"> </w:t>
            </w:r>
            <w:r>
              <w:t xml:space="preserve">260 pixels</w:t>
            </w:r>
          </w:p>
        </w:tc>
      </w:tr>
      <w:tr>
        <w:tc>
          <w:tcPr/>
          <w:p>
            <w:pPr>
              <w:pStyle w:val="Compact"/>
              <w:jc w:val="left"/>
            </w:pPr>
            <w:r>
              <w:t xml:space="preserve">Frame rate</w:t>
            </w:r>
          </w:p>
        </w:tc>
        <w:tc>
          <w:tcPr/>
          <w:p>
            <w:pPr>
              <w:pStyle w:val="Compact"/>
              <w:jc w:val="left"/>
            </w:pPr>
            <w:r>
              <w:t xml:space="preserve">25 Frames Per Second (FPS)</w:t>
            </w:r>
          </w:p>
        </w:tc>
      </w:tr>
      <w:tr>
        <w:tc>
          <w:tcPr/>
          <w:p>
            <w:pPr>
              <w:pStyle w:val="Compact"/>
              <w:jc w:val="left"/>
            </w:pPr>
            <w:r>
              <w:t xml:space="preserve">Total spatial size</w:t>
            </w:r>
          </w:p>
        </w:tc>
        <w:tc>
          <w:tcPr/>
          <w:p>
            <w:pPr>
              <w:pStyle w:val="Compact"/>
              <w:jc w:val="left"/>
            </w:pPr>
            <m:oMath>
              <m:r>
                <m:rPr>
                  <m:sty m:val="p"/>
                </m:rPr>
                <m:t>∼</m:t>
              </m:r>
            </m:oMath>
            <w:r>
              <w:t xml:space="preserve">53 GB</w:t>
            </w:r>
          </w:p>
        </w:tc>
      </w:tr>
    </w:tbl>
    <w:bookmarkEnd w:id="21"/>
    <w:bookmarkEnd w:id="22"/>
    <w:bookmarkStart w:id="26" w:name="end-to-end-system-architecture"/>
    <w:p>
      <w:pPr>
        <w:pStyle w:val="Heading2"/>
      </w:pPr>
      <w:r>
        <w:t xml:space="preserve">End-to-End System Architecture</w:t>
      </w:r>
    </w:p>
    <w:p>
      <w:pPr>
        <w:pStyle w:val="FirstParagraph"/>
      </w:pPr>
      <w:r>
        <w:t xml:space="preserve">The engineered subsystem employs a</w:t>
      </w:r>
      <w:r>
        <w:t xml:space="preserve"> </w:t>
      </w:r>
      <w:r>
        <w:rPr>
          <w:b/>
          <w:bCs/>
        </w:rPr>
        <w:t xml:space="preserve">Hybrid CTC+Attention architecture</w:t>
      </w:r>
      <w:r>
        <w:t xml:space="preserve"> </w:t>
      </w:r>
      <w:r>
        <w:t xml:space="preserve"> </w:t>
      </w:r>
      <w:r>
        <w:t xml:space="preserve">configured exactly within the ‘HybridCTCAttentionModel‘ source class. This architecture unifies a deep visual extraction phase directly with a dual-headed temporal tracking array, guaranteeing end-to-end differentiable states.</w:t>
      </w:r>
    </w:p>
    <w:bookmarkStart w:id="23" w:name="visual-cnn-backbone"/>
    <w:p>
      <w:pPr>
        <w:pStyle w:val="Heading3"/>
      </w:pPr>
      <w:r>
        <w:t xml:space="preserve">Visual CNN Backbone</w:t>
      </w:r>
    </w:p>
    <w:p>
      <w:pPr>
        <w:pStyle w:val="FirstParagraph"/>
      </w:pPr>
      <w:r>
        <w:t xml:space="preserve">To compress high-dimensional raw video</w:t>
      </w:r>
      <w:r>
        <w:t xml:space="preserve"> </w:t>
      </w:r>
      <m:oMath>
        <m:r>
          <m:rPr>
            <m:sty m:val="p"/>
          </m:rPr>
          <m:t>(</m:t>
        </m:r>
        <m:r>
          <m:t>B</m:t>
        </m:r>
        <m:r>
          <m:t>a</m:t>
        </m:r>
        <m:r>
          <m:t>t</m:t>
        </m:r>
        <m:r>
          <m:t>c</m:t>
        </m:r>
        <m:r>
          <m:t>h</m:t>
        </m:r>
        <m:r>
          <m:rPr>
            <m:sty m:val="p"/>
          </m:rPr>
          <m:t>,</m:t>
        </m:r>
        <m:r>
          <m:t>T</m:t>
        </m:r>
        <m:r>
          <m:t>i</m:t>
        </m:r>
        <m:r>
          <m:t>m</m:t>
        </m:r>
        <m:r>
          <m:t>e</m:t>
        </m:r>
        <m:r>
          <m:rPr>
            <m:sty m:val="p"/>
          </m:rPr>
          <m:t>,</m:t>
        </m:r>
        <m:r>
          <m:t>3</m:t>
        </m:r>
        <m:r>
          <m:rPr>
            <m:sty m:val="p"/>
          </m:rPr>
          <m:t>,</m:t>
        </m:r>
        <m:r>
          <m:t>260</m:t>
        </m:r>
        <m:r>
          <m:rPr>
            <m:sty m:val="p"/>
          </m:rPr>
          <m:t>,</m:t>
        </m:r>
        <m:r>
          <m:t>210</m:t>
        </m:r>
        <m:r>
          <m:rPr>
            <m:sty m:val="p"/>
          </m:rPr>
          <m:t>)</m:t>
        </m:r>
      </m:oMath>
      <w:r>
        <w:t xml:space="preserve"> </w:t>
      </w:r>
      <w:r>
        <w:t xml:space="preserve">into trackable temporal units, a deep Convolutional Neural Network acts as the spatial feature extractor. Given the intense risk of overfitting on the 5,000-sample dataset, a relatively lightweight</w:t>
      </w:r>
      <w:r>
        <w:t xml:space="preserve"> </w:t>
      </w:r>
      <w:r>
        <w:rPr>
          <w:b/>
          <w:bCs/>
        </w:rPr>
        <w:t xml:space="preserve">ResNet-18</w:t>
      </w:r>
      <w:r>
        <w:t xml:space="preserve"> </w:t>
      </w:r>
      <w:r>
        <w:t xml:space="preserve">backbone was rigorously selected over denser variants like ResNet-50.</w:t>
      </w:r>
    </w:p>
    <w:p>
      <w:pPr>
        <w:pStyle w:val="BodyText"/>
      </w:pPr>
      <w:r>
        <w:t xml:space="preserve">The ImageNet-1K pretrained ResNet layers undergo structural truncation. The final fully connected layers and base pool operators are stripped, replaced by a specialized</w:t>
      </w:r>
      <w:r>
        <w:t xml:space="preserve"> </w:t>
      </w:r>
      <m:oMath>
        <m:r>
          <m:t>1</m:t>
        </m:r>
        <m:r>
          <m:rPr>
            <m:sty m:val="p"/>
          </m:rPr>
          <m:t>×</m:t>
        </m:r>
        <m:r>
          <m:t>1</m:t>
        </m:r>
      </m:oMath>
      <w:r>
        <w:t xml:space="preserve"> </w:t>
      </w:r>
      <w:r>
        <w:t xml:space="preserve">Adaptive Average Pooling operation (‘nn.AdaptiveAvgPool2d((1, 1))‘). A continuous linear projection matrix subsequently scales the intermediate network states down to an absolute coordinate dimension of exactly</w:t>
      </w:r>
      <w:r>
        <w:t xml:space="preserve"> </w:t>
      </w:r>
      <m:oMath>
        <m:r>
          <m:t>D</m:t>
        </m:r>
        <m:r>
          <m:rPr>
            <m:sty m:val="p"/>
          </m:rPr>
          <m:t>=</m:t>
        </m:r>
        <m:r>
          <m:t>512</m:t>
        </m:r>
      </m:oMath>
      <w:r>
        <w:t xml:space="preserve"> </w:t>
      </w:r>
      <w:r>
        <w:t xml:space="preserve">features per isolated frame. Crucially, as explicitly coded in the extraction logic, the initial 30 low-level neural parameters remain permanently frozen to stabilize early transfer learning gradients.</w:t>
      </w:r>
    </w:p>
    <w:bookmarkEnd w:id="23"/>
    <w:bookmarkStart w:id="24" w:name="transformer-encoder-dynamics"/>
    <w:p>
      <w:pPr>
        <w:pStyle w:val="Heading3"/>
      </w:pPr>
      <w:r>
        <w:t xml:space="preserve">Transformer Encoder Dynamics</w:t>
      </w:r>
    </w:p>
    <w:p>
      <w:pPr>
        <w:pStyle w:val="FirstParagraph"/>
      </w:pPr>
      <w:r>
        <w:t xml:space="preserve">Following CNN extraction, the sequence passes into the primary Transformer Encoder. Because recurrent structures fail to intrinsically understand sequence chronology, a fixed Sinusoidal Positional Encoding matrix injects mandatory timing offsets.</w:t>
      </w:r>
    </w:p>
    <w:p>
      <w:pPr>
        <w:pStyle w:val="BodyText"/>
      </w:pPr>
      <m:oMathPara>
        <m:oMathParaPr>
          <m:jc m:val="center"/>
        </m:oMathParaPr>
        <m:oMath>
          <m:r>
            <m:t>P</m:t>
          </m:r>
          <m:sSub>
            <m:e>
              <m:r>
                <m:t>E</m:t>
              </m:r>
            </m:e>
            <m:sub>
              <m:r>
                <m:rPr>
                  <m:sty m:val="p"/>
                </m:rPr>
                <m:t>(</m:t>
              </m:r>
              <m:r>
                <m:t>p</m:t>
              </m:r>
              <m:r>
                <m:t>o</m:t>
              </m:r>
              <m:r>
                <m:t>s</m:t>
              </m:r>
              <m:r>
                <m:rPr>
                  <m:sty m:val="p"/>
                </m:rPr>
                <m:t>,</m:t>
              </m:r>
              <m:r>
                <m:t>2</m:t>
              </m:r>
              <m:r>
                <m:t>i</m:t>
              </m:r>
              <m:r>
                <m:rPr>
                  <m:sty m:val="p"/>
                </m:rPr>
                <m:t>)</m:t>
              </m:r>
            </m:sub>
          </m:sSub>
          <m:r>
            <m:rPr>
              <m:sty m:val="p"/>
            </m:rPr>
            <m:t>=</m:t>
          </m:r>
          <m:r>
            <m:rPr>
              <m:sty m:val="p"/>
            </m:rPr>
            <m:t>sin</m:t>
          </m:r>
          <m:r>
            <m:rPr>
              <m:sty m:val="p"/>
            </m:rPr>
            <m:t>(</m:t>
          </m:r>
          <m:r>
            <m:t>p</m:t>
          </m:r>
          <m:r>
            <m:t>o</m:t>
          </m:r>
          <m:r>
            <m:t>s</m:t>
          </m:r>
          <m:r>
            <m:rPr>
              <m:sty m:val="p"/>
            </m:rPr>
            <m:t>/</m:t>
          </m:r>
          <m:sSup>
            <m:e>
              <m:r>
                <m:t>10000</m:t>
              </m:r>
            </m:e>
            <m:sup>
              <m:r>
                <m:t>2</m:t>
              </m:r>
              <m:r>
                <m:t>i</m:t>
              </m:r>
              <m:r>
                <m:rPr>
                  <m:sty m:val="p"/>
                </m:rPr>
                <m:t>/</m:t>
              </m:r>
              <m:sSub>
                <m:e>
                  <m:r>
                    <m:t>d</m:t>
                  </m:r>
                </m:e>
                <m:sub>
                  <m:r>
                    <m:t>m</m:t>
                  </m:r>
                  <m:r>
                    <m:t>o</m:t>
                  </m:r>
                  <m:r>
                    <m:t>d</m:t>
                  </m:r>
                  <m:r>
                    <m:t>e</m:t>
                  </m:r>
                  <m:r>
                    <m:t>l</m:t>
                  </m:r>
                </m:sub>
              </m:sSub>
            </m:sup>
          </m:sSup>
          <m:r>
            <m:rPr>
              <m:sty m:val="p"/>
            </m:rPr>
            <m:t>)</m:t>
          </m:r>
        </m:oMath>
      </m:oMathPara>
    </w:p>
    <w:p>
      <w:pPr>
        <w:pStyle w:val="FirstParagraph"/>
      </w:pPr>
      <m:oMathPara>
        <m:oMathParaPr>
          <m:jc m:val="center"/>
        </m:oMathParaPr>
        <m:oMath>
          <m:r>
            <m:t>P</m:t>
          </m:r>
          <m:sSub>
            <m:e>
              <m:r>
                <m:t>E</m:t>
              </m:r>
            </m:e>
            <m:sub>
              <m:r>
                <m:rPr>
                  <m:sty m:val="p"/>
                </m:rPr>
                <m:t>(</m:t>
              </m:r>
              <m:r>
                <m:t>p</m:t>
              </m:r>
              <m:r>
                <m:t>o</m:t>
              </m:r>
              <m:r>
                <m:t>s</m:t>
              </m:r>
              <m:r>
                <m:rPr>
                  <m:sty m:val="p"/>
                </m:rPr>
                <m:t>,</m:t>
              </m:r>
              <m:r>
                <m:t>2</m:t>
              </m:r>
              <m:r>
                <m:t>i</m:t>
              </m:r>
              <m:r>
                <m:rPr>
                  <m:sty m:val="p"/>
                </m:rPr>
                <m:t>+</m:t>
              </m:r>
              <m:r>
                <m:t>1</m:t>
              </m:r>
              <m:r>
                <m:rPr>
                  <m:sty m:val="p"/>
                </m:rPr>
                <m:t>)</m:t>
              </m:r>
            </m:sub>
          </m:sSub>
          <m:r>
            <m:rPr>
              <m:sty m:val="p"/>
            </m:rPr>
            <m:t>=</m:t>
          </m:r>
          <m:r>
            <m:rPr>
              <m:sty m:val="p"/>
            </m:rPr>
            <m:t>cos</m:t>
          </m:r>
          <m:r>
            <m:rPr>
              <m:sty m:val="p"/>
            </m:rPr>
            <m:t>(</m:t>
          </m:r>
          <m:r>
            <m:t>p</m:t>
          </m:r>
          <m:r>
            <m:t>o</m:t>
          </m:r>
          <m:r>
            <m:t>s</m:t>
          </m:r>
          <m:r>
            <m:rPr>
              <m:sty m:val="p"/>
            </m:rPr>
            <m:t>/</m:t>
          </m:r>
          <m:sSup>
            <m:e>
              <m:r>
                <m:t>10000</m:t>
              </m:r>
            </m:e>
            <m:sup>
              <m:r>
                <m:t>2</m:t>
              </m:r>
              <m:r>
                <m:t>i</m:t>
              </m:r>
              <m:r>
                <m:rPr>
                  <m:sty m:val="p"/>
                </m:rPr>
                <m:t>/</m:t>
              </m:r>
              <m:sSub>
                <m:e>
                  <m:r>
                    <m:t>d</m:t>
                  </m:r>
                </m:e>
                <m:sub>
                  <m:r>
                    <m:t>m</m:t>
                  </m:r>
                  <m:r>
                    <m:t>o</m:t>
                  </m:r>
                  <m:r>
                    <m:t>d</m:t>
                  </m:r>
                  <m:r>
                    <m:t>e</m:t>
                  </m:r>
                  <m:r>
                    <m:t>l</m:t>
                  </m:r>
                </m:sub>
              </m:sSub>
            </m:sup>
          </m:sSup>
          <m:r>
            <m:rPr>
              <m:sty m:val="p"/>
            </m:rPr>
            <m:t>)</m:t>
          </m:r>
        </m:oMath>
      </m:oMathPara>
    </w:p>
    <w:p>
      <w:pPr>
        <w:pStyle w:val="FirstParagraph"/>
      </w:pPr>
      <w:r>
        <w:t xml:space="preserve">The Transformer Encoder runs</w:t>
      </w:r>
      <w:r>
        <w:t xml:space="preserve"> </w:t>
      </w:r>
      <m:oMath>
        <m:r>
          <m:t>N</m:t>
        </m:r>
        <m:r>
          <m:rPr>
            <m:sty m:val="p"/>
          </m:rPr>
          <m:t>=</m:t>
        </m:r>
        <m:r>
          <m:t>6</m:t>
        </m:r>
      </m:oMath>
      <w:r>
        <w:t xml:space="preserve"> </w:t>
      </w:r>
      <w:r>
        <w:t xml:space="preserve">identical stacked layers. Each operational layer executes Multi-Head Self-Attention using</w:t>
      </w:r>
      <w:r>
        <w:t xml:space="preserve"> </w:t>
      </w:r>
      <m:oMath>
        <m:r>
          <m:t>h</m:t>
        </m:r>
        <m:r>
          <m:rPr>
            <m:sty m:val="p"/>
          </m:rPr>
          <m:t>=</m:t>
        </m:r>
        <m:r>
          <m:t>8</m:t>
        </m:r>
      </m:oMath>
      <w:r>
        <w:t xml:space="preserve"> </w:t>
      </w:r>
      <w:r>
        <w:t xml:space="preserve">parallel attention heads. The intermediate Feed-Forward Network dimension mathematically expands to 2,048 before projecting back to 512, ensuring highly complex contextual mixing operations across the maximum 500-sequence limit.</w:t>
      </w:r>
    </w:p>
    <w:bookmarkEnd w:id="24"/>
    <w:bookmarkStart w:id="25" w:name="dual-output-heads-the-hybrid-solution"/>
    <w:p>
      <w:pPr>
        <w:pStyle w:val="Heading3"/>
      </w:pPr>
      <w:r>
        <w:t xml:space="preserve">Dual Output Heads (The Hybrid Solution)</w:t>
      </w:r>
    </w:p>
    <w:p>
      <w:pPr>
        <w:pStyle w:val="FirstParagraph"/>
      </w:pPr>
      <w:r>
        <w:t xml:space="preserve">The 512-dimensional encoder emissions concurrently feed two distinct operational prediction heads:</w:t>
      </w:r>
    </w:p>
    <w:p>
      <w:pPr>
        <w:pStyle w:val="BodyText"/>
      </w:pPr>
      <w:r>
        <w:t xml:space="preserve">1.</w:t>
      </w:r>
      <w:r>
        <w:t xml:space="preserve"> </w:t>
      </w:r>
      <w:r>
        <w:rPr>
          <w:b/>
          <w:bCs/>
        </w:rPr>
        <w:t xml:space="preserve">The CTC Head</w:t>
      </w:r>
      <w:r>
        <w:t xml:space="preserve">: A singular dense projection layer reducing the 512-dimensional encoder output strictly to the defined vocabulary dimension consisting of 1,200 elements, plus a dedicated blank token. The head relies exclusively on the CTC mathematical loss formulation to infer probabilistic alignments dynamically over the unsegmented array.</w:t>
      </w:r>
    </w:p>
    <w:p>
      <w:pPr>
        <w:pStyle w:val="BodyText"/>
      </w:pPr>
      <w:r>
        <w:t xml:space="preserve">2.</w:t>
      </w:r>
      <w:r>
        <w:t xml:space="preserve"> </w:t>
      </w:r>
      <w:r>
        <w:rPr>
          <w:b/>
          <w:bCs/>
        </w:rPr>
        <w:t xml:space="preserve">The Autoregressive Attention Decoder (‘GlossDecoder‘)</w:t>
      </w:r>
      <w:r>
        <w:t xml:space="preserve">: A secondary 3-layer Transformer Decoder acting strictly in an autoregressive generation capacity. Utilizing standard causal masking (‘torch.triu(..., diagonal=1)‘), this segment observes the output of the base encoder while sequentially emitting contextual gloss predictions. The cross-entropy gradients generated here explicitly anchor the temporal encoder preventing standard CTC breakdown.</w:t>
      </w:r>
    </w:p>
    <w:bookmarkEnd w:id="25"/>
    <w:bookmarkEnd w:id="26"/>
    <w:bookmarkStart w:id="27" w:name="mathematical-loss-formulation"/>
    <w:p>
      <w:pPr>
        <w:pStyle w:val="Heading2"/>
      </w:pPr>
      <w:r>
        <w:t xml:space="preserve">Mathematical Loss Formulation</w:t>
      </w:r>
    </w:p>
    <w:p>
      <w:pPr>
        <w:pStyle w:val="FirstParagraph"/>
      </w:pPr>
      <w:r>
        <w:t xml:space="preserve">To explicitly prevent catastrophic failure during unsegmented translation phases, the network relies on a rigorously defined Joint Loss algorithm. This formulation maps the combined mathematical gradients of the CTC and the secondary Attention branches simultaneously.</w:t>
      </w:r>
    </w:p>
    <w:p>
      <w:pPr>
        <w:pStyle w:val="BodyText"/>
      </w:pPr>
      <w:r>
        <w:t xml:space="preserve">The CTC Loss marginalizes unsegmented temporal data into a probabilistic maximum likelihood function:</w:t>
      </w:r>
    </w:p>
    <w:p>
      <w:pPr>
        <w:pStyle w:val="BodyText"/>
      </w:pPr>
      <m:oMathPara>
        <m:oMathParaPr>
          <m:jc m:val="center"/>
        </m:oMathParaPr>
        <m:oMath>
          <m:sSub>
            <m:e>
              <m:r>
                <m:t>L</m:t>
              </m:r>
            </m:e>
            <m:sub>
              <m:r>
                <m:t>C</m:t>
              </m:r>
              <m:r>
                <m:t>T</m:t>
              </m:r>
              <m:r>
                <m:t>C</m:t>
              </m:r>
            </m:sub>
          </m:sSub>
          <m:r>
            <m:rPr>
              <m:sty m:val="p"/>
            </m:rPr>
            <m:t>=</m:t>
          </m:r>
          <m:r>
            <m:rPr>
              <m:sty m:val="p"/>
            </m:rPr>
            <m:t>−</m:t>
          </m:r>
          <m:r>
            <m:rPr>
              <m:sty m:val="p"/>
            </m:rPr>
            <m:t>ln</m:t>
          </m:r>
          <m:r>
            <m:t>P</m:t>
          </m:r>
          <m:r>
            <m:rPr>
              <m:sty m:val="p"/>
            </m:rPr>
            <m:t>(</m:t>
          </m:r>
          <m:r>
            <m:t>Y</m:t>
          </m:r>
          <m:r>
            <m:rPr>
              <m:sty m:val="p"/>
            </m:rPr>
            <m:t>|</m:t>
          </m:r>
          <m:r>
            <m:t>X</m:t>
          </m:r>
          <m:r>
            <m:rPr>
              <m:sty m:val="p"/>
            </m:rPr>
            <m:t>)</m:t>
          </m:r>
          <m:r>
            <m:rPr>
              <m:sty m:val="p"/>
            </m:rPr>
            <m:t>=</m:t>
          </m:r>
          <m:r>
            <m:rPr>
              <m:sty m:val="p"/>
            </m:rPr>
            <m:t>−</m:t>
          </m:r>
          <m:r>
            <m:rPr>
              <m:sty m:val="p"/>
            </m:rPr>
            <m:t>ln</m:t>
          </m:r>
          <m:nary>
            <m:naryPr>
              <m:chr m:val="∑"/>
              <m:limLoc m:val="undOvr"/>
              <m:subHide m:val="off"/>
              <m:supHide m:val="on"/>
            </m:naryPr>
            <m:sub>
              <m:r>
                <m:t>π</m:t>
              </m:r>
              <m:r>
                <m:rPr>
                  <m:sty m:val="p"/>
                </m:rPr>
                <m:t>∈</m:t>
              </m:r>
              <m:r>
                <m:rPr>
                  <m:sty m:val="p"/>
                </m:rPr>
                <m:t>Φ</m:t>
              </m:r>
              <m:r>
                <m:rPr>
                  <m:sty m:val="p"/>
                </m:rPr>
                <m:t>(</m:t>
              </m:r>
              <m:r>
                <m:t>Y</m:t>
              </m:r>
              <m:r>
                <m:rPr>
                  <m:sty m:val="p"/>
                </m:rPr>
                <m:t>)</m:t>
              </m:r>
            </m:sub>
            <m:sup>
              <m:r>
                <m:t>​</m:t>
              </m:r>
            </m:sup>
            <m:e>
              <m:nary>
                <m:naryPr>
                  <m:chr m:val="∏"/>
                  <m:limLoc m:val="undOvr"/>
                  <m:subHide m:val="off"/>
                  <m:supHide m:val="off"/>
                </m:naryPr>
                <m:sub>
                  <m:r>
                    <m:t>t</m:t>
                  </m:r>
                  <m:r>
                    <m:rPr>
                      <m:sty m:val="p"/>
                    </m:rPr>
                    <m:t>=</m:t>
                  </m:r>
                  <m:r>
                    <m:t>1</m:t>
                  </m:r>
                </m:sub>
                <m:sup>
                  <m:r>
                    <m:t>T</m:t>
                  </m:r>
                </m:sup>
                <m:e>
                  <m:sSubSup>
                    <m:e>
                      <m:r>
                        <m:t>y</m:t>
                      </m:r>
                    </m:e>
                    <m:sub>
                      <m:sSub>
                        <m:e>
                          <m:r>
                            <m:t>π</m:t>
                          </m:r>
                        </m:e>
                        <m:sub>
                          <m:r>
                            <m:t>t</m:t>
                          </m:r>
                        </m:sub>
                      </m:sSub>
                    </m:sub>
                    <m:sup>
                      <m:r>
                        <m:t>t</m:t>
                      </m:r>
                    </m:sup>
                  </m:sSubSup>
                </m:e>
              </m:nary>
            </m:e>
          </m:nary>
        </m:oMath>
      </m:oMathPara>
    </w:p>
    <w:p>
      <w:pPr>
        <w:pStyle w:val="FirstParagraph"/>
      </w:pPr>
      <w:r>
        <w:t xml:space="preserve">where</w:t>
      </w:r>
      <w:r>
        <w:t xml:space="preserve"> </w:t>
      </w:r>
      <m:oMath>
        <m:r>
          <m:rPr>
            <m:sty m:val="p"/>
          </m:rPr>
          <m:t>Φ</m:t>
        </m:r>
        <m:r>
          <m:rPr>
            <m:sty m:val="p"/>
          </m:rPr>
          <m:t>(</m:t>
        </m:r>
        <m:r>
          <m:t>Y</m:t>
        </m:r>
        <m:r>
          <m:rPr>
            <m:sty m:val="p"/>
          </m:rPr>
          <m:t>)</m:t>
        </m:r>
      </m:oMath>
      <w:r>
        <w:t xml:space="preserve"> </w:t>
      </w:r>
      <w:r>
        <w:t xml:space="preserve">represents the set of all valid blank-inclusive alignment paths for the target sentence</w:t>
      </w:r>
      <w:r>
        <w:t xml:space="preserve"> </w:t>
      </w:r>
      <m:oMath>
        <m:r>
          <m:t>Y</m:t>
        </m:r>
      </m:oMath>
      <w:r>
        <w:t xml:space="preserve">.</w:t>
      </w:r>
    </w:p>
    <w:p>
      <w:pPr>
        <w:pStyle w:val="BodyText"/>
      </w:pPr>
      <w:r>
        <w:t xml:space="preserve">Conversely, the Cross-Entropy loss operates strictly on the 3-layer autoregressive decoder predictions. It evaluates against right-shifted target sequences, deploying a forced Label Smoothing metric mathematically clamped to 0.1 to soften absolute distributional bounds, thereby mitigating gradient confidence errors.</w:t>
      </w:r>
    </w:p>
    <w:p>
      <w:pPr>
        <w:pStyle w:val="BodyText"/>
      </w:pPr>
      <w:r>
        <w:t xml:space="preserve">The final operational gradients backpropagate strictly according to the definitive joint loss equation defined in the pipeline:</w:t>
      </w:r>
    </w:p>
    <w:p>
      <w:pPr>
        <w:pStyle w:val="BodyText"/>
      </w:pPr>
      <m:oMathPara>
        <m:oMathParaPr>
          <m:jc m:val="center"/>
        </m:oMathParaPr>
        <m:oMath>
          <m:sSub>
            <m:e>
              <m:r>
                <m:t>L</m:t>
              </m:r>
            </m:e>
            <m:sub>
              <m:r>
                <m:t>t</m:t>
              </m:r>
              <m:r>
                <m:t>o</m:t>
              </m:r>
              <m:r>
                <m:t>t</m:t>
              </m:r>
              <m:r>
                <m:t>a</m:t>
              </m:r>
              <m:r>
                <m:t>l</m:t>
              </m:r>
            </m:sub>
          </m:sSub>
          <m:r>
            <m:rPr>
              <m:sty m:val="p"/>
            </m:rPr>
            <m:t>=</m:t>
          </m:r>
          <m:sSub>
            <m:e>
              <m:r>
                <m:t>λ</m:t>
              </m:r>
            </m:e>
            <m:sub>
              <m:r>
                <m:t>C</m:t>
              </m:r>
              <m:r>
                <m:t>T</m:t>
              </m:r>
              <m:r>
                <m:t>C</m:t>
              </m:r>
            </m:sub>
          </m:sSub>
          <m:r>
            <m:rPr>
              <m:sty m:val="p"/>
            </m:rPr>
            <m:t>×</m:t>
          </m:r>
          <m:sSub>
            <m:e>
              <m:r>
                <m:t>L</m:t>
              </m:r>
            </m:e>
            <m:sub>
              <m:r>
                <m:t>C</m:t>
              </m:r>
              <m:r>
                <m:t>T</m:t>
              </m:r>
              <m:r>
                <m:t>C</m:t>
              </m:r>
            </m:sub>
          </m:sSub>
          <m:r>
            <m:rPr>
              <m:sty m:val="p"/>
            </m:rPr>
            <m:t>+</m:t>
          </m:r>
          <m:sSub>
            <m:e>
              <m:r>
                <m:t>λ</m:t>
              </m:r>
            </m:e>
            <m:sub>
              <m:r>
                <m:t>C</m:t>
              </m:r>
              <m:r>
                <m:t>E</m:t>
              </m:r>
            </m:sub>
          </m:sSub>
          <m:r>
            <m:rPr>
              <m:sty m:val="p"/>
            </m:rPr>
            <m:t>×</m:t>
          </m:r>
          <m:sSub>
            <m:e>
              <m:r>
                <m:t>L</m:t>
              </m:r>
            </m:e>
            <m:sub>
              <m:r>
                <m:t>C</m:t>
              </m:r>
              <m:r>
                <m:t>E</m:t>
              </m:r>
            </m:sub>
          </m:sSub>
        </m:oMath>
      </m:oMathPara>
    </w:p>
    <w:p>
      <w:pPr>
        <w:pStyle w:val="FirstParagraph"/>
      </w:pPr>
      <w:r>
        <w:t xml:space="preserve">Extensive historical research</w:t>
      </w:r>
      <w:r>
        <w:t xml:space="preserve"> </w:t>
      </w:r>
      <w:r>
        <w:t xml:space="preserve"> </w:t>
      </w:r>
      <w:r>
        <w:t xml:space="preserve">determined optimal stabilization variables. Our training logic uniformly assigns</w:t>
      </w:r>
      <w:r>
        <w:t xml:space="preserve"> </w:t>
      </w:r>
      <m:oMath>
        <m:sSub>
          <m:e>
            <m:r>
              <m:t>λ</m:t>
            </m:r>
          </m:e>
          <m:sub>
            <m:r>
              <m:t>C</m:t>
            </m:r>
            <m:r>
              <m:t>T</m:t>
            </m:r>
            <m:r>
              <m:t>C</m:t>
            </m:r>
          </m:sub>
        </m:sSub>
        <m:r>
          <m:rPr>
            <m:sty m:val="p"/>
          </m:rPr>
          <m:t>=</m:t>
        </m:r>
        <m:r>
          <m:t>0.3</m:t>
        </m:r>
      </m:oMath>
      <w:r>
        <w:t xml:space="preserve"> </w:t>
      </w:r>
      <w:r>
        <w:t xml:space="preserve">and an overriding priority scalar of</w:t>
      </w:r>
      <w:r>
        <w:t xml:space="preserve"> </w:t>
      </w:r>
      <m:oMath>
        <m:sSub>
          <m:e>
            <m:r>
              <m:t>λ</m:t>
            </m:r>
          </m:e>
          <m:sub>
            <m:r>
              <m:t>C</m:t>
            </m:r>
            <m:r>
              <m:t>E</m:t>
            </m:r>
          </m:sub>
        </m:sSub>
        <m:r>
          <m:rPr>
            <m:sty m:val="p"/>
          </m:rPr>
          <m:t>=</m:t>
        </m:r>
        <m:r>
          <m:t>0.7</m:t>
        </m:r>
      </m:oMath>
      <w:r>
        <w:t xml:space="preserve"> </w:t>
      </w:r>
      <w:r>
        <w:t xml:space="preserve">for superior temporal boundary retention.</w:t>
      </w:r>
    </w:p>
    <w:bookmarkEnd w:id="27"/>
    <w:bookmarkEnd w:id="28"/>
    <w:bookmarkStart w:id="34" w:name="implementation-and-results"/>
    <w:p>
      <w:pPr>
        <w:pStyle w:val="Heading1"/>
      </w:pPr>
      <w:r>
        <w:t xml:space="preserve">IMPLEMENTATION AND RESULTS</w:t>
      </w:r>
    </w:p>
    <w:bookmarkStart w:id="29" w:name="X626d4cf8768d6f8b2c3c41895ea5cb0c568b54b"/>
    <w:p>
      <w:pPr>
        <w:pStyle w:val="Heading2"/>
      </w:pPr>
      <w:r>
        <w:t xml:space="preserve">Development Environment and Hardware Constraints</w:t>
      </w:r>
    </w:p>
    <w:p>
      <w:pPr>
        <w:pStyle w:val="FirstParagraph"/>
      </w:pPr>
      <w:r>
        <w:t xml:space="preserve">The system configurations deployed a Python 3.10 framework utilizing the highly optimized PyTorch 2.0 automatic differentiation engine. Deep continuous video arrays inherently generate massive unrolled computational graphs during backpropagation, placing immense stress on hardware memory boundaries.</w:t>
      </w:r>
    </w:p>
    <w:p>
      <w:pPr>
        <w:pStyle w:val="BodyText"/>
      </w:pPr>
      <w:r>
        <w:t xml:space="preserve">Due to strict hardware resource constraints, specifically a highly limited GPU Video RAM (VRAM) footprint, the fundamental input batch size was mathematically capped at an absolute maximum of 4 concurrent sequence elements. Furthermore, the input temporal volume was artificially bounded to a ceiling restriction of precisely</w:t>
      </w:r>
      <w:r>
        <w:t xml:space="preserve"> </w:t>
      </w:r>
      <m:oMath>
        <m:r>
          <m:t>T</m:t>
        </m:r>
        <m:r>
          <m:rPr>
            <m:sty m:val="p"/>
          </m:rPr>
          <m:t>=</m:t>
        </m:r>
        <m:r>
          <m:t>64</m:t>
        </m:r>
      </m:oMath>
      <w:r>
        <w:t xml:space="preserve"> </w:t>
      </w:r>
      <w:r>
        <w:t xml:space="preserve">contiguous frames. Exceeding this boundary reliably triggered deterministic out-of-memory cascading failures during the transformer self-attention calculations.</w:t>
      </w:r>
    </w:p>
    <w:p>
      <w:pPr>
        <w:pStyle w:val="BodyText"/>
      </w:pPr>
      <w:r>
        <w:t xml:space="preserve">The fully initialized ‘HybridCTCAttentionModel‘, coupling the ResNet-18 extraction backend together with the 6-layer encoding and 3-layer autoregressive decoding array, culminated at 45.2 million distinct trainable parameters. Baseline network training procedures spanned approximately 20 continuous operational hours across 100 epoch evaluations.</w:t>
      </w:r>
    </w:p>
    <w:bookmarkEnd w:id="29"/>
    <w:bookmarkStart w:id="30" w:name="data-augmentation-constraint-algorithms"/>
    <w:p>
      <w:pPr>
        <w:pStyle w:val="Heading2"/>
      </w:pPr>
      <w:r>
        <w:t xml:space="preserve">Data Augmentation Constraint Algorithms</w:t>
      </w:r>
    </w:p>
    <w:p>
      <w:pPr>
        <w:pStyle w:val="FirstParagraph"/>
      </w:pPr>
      <w:r>
        <w:t xml:space="preserve">The aggressive model complexity relative to the restricted 5,000-sample dataset fundamentally necessitated complex auxiliary external augmentation procedures. To artificially inflate gradient variability, the ‘VideoAugmentation‘ and ‘TemporalSampling‘ functional logic classes dynamically manipulated each raw video batch upon extraction.</w:t>
      </w:r>
    </w:p>
    <w:p>
      <w:pPr>
        <w:pStyle w:val="BodyText"/>
      </w:pPr>
      <w:r>
        <w:t xml:space="preserve">Given the unique semantic sensitivities inherent in accurate sign language representations, aggressive normalization metrics were specifically engineered:</w:t>
      </w:r>
    </w:p>
    <w:p>
      <w:pPr>
        <w:numPr>
          <w:ilvl w:val="0"/>
          <w:numId w:val="1003"/>
        </w:numPr>
      </w:pPr>
      <w:r>
        <w:rPr>
          <w:b/>
          <w:bCs/>
        </w:rPr>
        <w:t xml:space="preserve">Spatial Deformation Boundaries</w:t>
      </w:r>
      <w:r>
        <w:t xml:space="preserve">: Target frames suffered dynamic Random Crop scaling strictly constrained mathematically to oscillate between factors of 0.85 and 1.0. Minor angular rotational shifts were enforced within extreme</w:t>
      </w:r>
      <w:r>
        <w:t xml:space="preserve"> </w:t>
      </w:r>
      <m:oMath>
        <m:r>
          <m:rPr>
            <m:sty m:val="p"/>
          </m:rPr>
          <m:t>±</m:t>
        </m:r>
        <m:sSup>
          <m:e>
            <m:r>
              <m:t>8</m:t>
            </m:r>
          </m:e>
          <m:sup>
            <m:r>
              <m:rPr>
                <m:sty m:val="p"/>
              </m:rPr>
              <m:t>∘</m:t>
            </m:r>
          </m:sup>
        </m:sSup>
      </m:oMath>
      <w:r>
        <w:t xml:space="preserve"> </w:t>
      </w:r>
      <w:r>
        <w:t xml:space="preserve">variance margins to simulate minor standing height discrepancies without structurally invalidating absolute spatial coordinates.</w:t>
      </w:r>
    </w:p>
    <w:p>
      <w:pPr>
        <w:numPr>
          <w:ilvl w:val="0"/>
          <w:numId w:val="1003"/>
        </w:numPr>
      </w:pPr>
      <w:r>
        <w:rPr>
          <w:b/>
          <w:bCs/>
        </w:rPr>
        <w:t xml:space="preserve">Color Jitter Dynamics</w:t>
      </w:r>
      <w:r>
        <w:t xml:space="preserve">: Visual brightness, contrast, and saturation factors executed sequential shifting parameters constrained to</w:t>
      </w:r>
      <w:r>
        <w:t xml:space="preserve"> </w:t>
      </w:r>
      <m:oMath>
        <m:r>
          <m:rPr>
            <m:sty m:val="p"/>
          </m:rPr>
          <m:t>±</m:t>
        </m:r>
      </m:oMath>
      <w:r>
        <w:t xml:space="preserve"> </w:t>
      </w:r>
      <w:r>
        <w:t xml:space="preserve">0.15 variances targeting systemic lighting independence.</w:t>
      </w:r>
    </w:p>
    <w:p>
      <w:pPr>
        <w:numPr>
          <w:ilvl w:val="0"/>
          <w:numId w:val="1003"/>
        </w:numPr>
      </w:pPr>
      <w:r>
        <w:rPr>
          <w:b/>
          <w:bCs/>
        </w:rPr>
        <w:t xml:space="preserve">Temporal Processing Matrix</w:t>
      </w:r>
      <w:r>
        <w:t xml:space="preserve">: Recurrent sequences experienced stochastic speed perturbations oscillating heavily between</w:t>
      </w:r>
      <w:r>
        <w:t xml:space="preserve"> </w:t>
      </w:r>
      <m:oMath>
        <m:r>
          <m:t>0.8</m:t>
        </m:r>
        <m:r>
          <m:rPr>
            <m:sty m:val="p"/>
          </m:rPr>
          <m:t>×</m:t>
        </m:r>
      </m:oMath>
      <w:r>
        <w:t xml:space="preserve"> </w:t>
      </w:r>
      <w:r>
        <w:t xml:space="preserve">and</w:t>
      </w:r>
      <w:r>
        <w:t xml:space="preserve"> </w:t>
      </w:r>
      <m:oMath>
        <m:r>
          <m:t>1.2</m:t>
        </m:r>
        <m:r>
          <m:rPr>
            <m:sty m:val="p"/>
          </m:rPr>
          <m:t>×</m:t>
        </m:r>
      </m:oMath>
      <w:r>
        <w:t xml:space="preserve"> </w:t>
      </w:r>
      <w:r>
        <w:t xml:space="preserve">native runtime speeds via fixed linear interpolation. Additionally, aggressive temporal masking ratios, analogous to the acoustic SpecAugment paradigm, completely zero-padded 8% of adjacent sequence inputs featuring a steady 15% occurrence probability, directly simulating intermittent target occlusions.</w:t>
      </w:r>
    </w:p>
    <w:p>
      <w:pPr>
        <w:numPr>
          <w:ilvl w:val="0"/>
          <w:numId w:val="1003"/>
        </w:numPr>
      </w:pPr>
      <w:r>
        <w:rPr>
          <w:b/>
          <w:bCs/>
        </w:rPr>
        <w:t xml:space="preserve">Directional Preservation Law</w:t>
      </w:r>
      <w:r>
        <w:t xml:space="preserve">: Distinctively, to definitively preserve critical spatial semantics (e.g., differentiating right-handed signs from left-handed counterparts), the continuous processing pipeline explicitly restricted any form of lateral horizontal planar flipping transformations entirely.</w:t>
      </w:r>
    </w:p>
    <w:bookmarkEnd w:id="30"/>
    <w:bookmarkStart w:id="31" w:name="training-optimization-dynamics"/>
    <w:p>
      <w:pPr>
        <w:pStyle w:val="Heading2"/>
      </w:pPr>
      <w:r>
        <w:t xml:space="preserve">Training Optimization Dynamics</w:t>
      </w:r>
    </w:p>
    <w:p>
      <w:pPr>
        <w:pStyle w:val="FirstParagraph"/>
      </w:pPr>
      <w:r>
        <w:t xml:space="preserve">The network training parameters were systematically extracted and managed by the highly standardized ‘train_e2e.py‘ orchestration runtime. All computational branches mathematically progressed employing the ‘AdamW‘ optimization module algorithm initialized against an aggressive weight decay factor defining a 0.05 absolute regularization strength.</w:t>
      </w:r>
    </w:p>
    <w:p>
      <w:pPr>
        <w:pStyle w:val="BodyText"/>
      </w:pPr>
      <w:r>
        <w:t xml:space="preserve">The base learning rate logic utilized uniquely decoupled configuration matrices: the heavily pretrained visual ResNet-18 array tracked a restricted gradient limit scaling operating strictly at</w:t>
      </w:r>
      <w:r>
        <w:t xml:space="preserve"> </w:t>
      </w:r>
      <m:oMath>
        <m:r>
          <m:t>1</m:t>
        </m:r>
        <m:r>
          <m:rPr>
            <m:sty m:val="p"/>
          </m:rPr>
          <m:t>×</m:t>
        </m:r>
        <m:sSup>
          <m:e>
            <m:r>
              <m:t>10</m:t>
            </m:r>
          </m:e>
          <m:sup>
            <m:r>
              <m:rPr>
                <m:sty m:val="p"/>
              </m:rPr>
              <m:t>−</m:t>
            </m:r>
            <m:r>
              <m:t>5</m:t>
            </m:r>
          </m:sup>
        </m:sSup>
      </m:oMath>
      <w:r>
        <w:t xml:space="preserve">, whereas the subsequent uninitialized transformer modeling layers pursued convergence curves spanning orders up to</w:t>
      </w:r>
      <w:r>
        <w:t xml:space="preserve"> </w:t>
      </w:r>
      <m:oMath>
        <m:r>
          <m:t>1</m:t>
        </m:r>
        <m:r>
          <m:rPr>
            <m:sty m:val="p"/>
          </m:rPr>
          <m:t>×</m:t>
        </m:r>
        <m:sSup>
          <m:e>
            <m:r>
              <m:t>10</m:t>
            </m:r>
          </m:e>
          <m:sup>
            <m:r>
              <m:rPr>
                <m:sty m:val="p"/>
              </m:rPr>
              <m:t>−</m:t>
            </m:r>
            <m:r>
              <m:t>4</m:t>
            </m:r>
          </m:sup>
        </m:sSup>
      </m:oMath>
      <w:r>
        <w:t xml:space="preserve">. The scheduler implemented a deliberate 5-epoch linear warmup progression instantly mitigating volatile starting gradients, subsequently locking into a steady cosine decay annealing schedule down to practical zero variables over the 100-epoch cycle length. Absolute gradient explosions inherent to prolonged sequence modeling were forcibly managed by a firm maximum norm clamp equal to 5.0 parameter distances.</w:t>
      </w:r>
    </w:p>
    <w:bookmarkEnd w:id="31"/>
    <w:bookmarkStart w:id="33" w:name="results-and-performance-analytics"/>
    <w:p>
      <w:pPr>
        <w:pStyle w:val="Heading2"/>
      </w:pPr>
      <w:r>
        <w:t xml:space="preserve">Results and Performance Analytics</w:t>
      </w:r>
    </w:p>
    <w:p>
      <w:pPr>
        <w:pStyle w:val="FirstParagraph"/>
      </w:pPr>
      <w:r>
        <w:t xml:space="preserve">The hybrid CTC and Attention methodology demonstrated striking operational capabilities in countering mathematical unsegmented deterioration. Tracking accurate translation metrics fundamentally requires customized algorithms mapping Levenshtein distance computations defining structural Word Error Rates (WER).</w:t>
      </w:r>
    </w:p>
    <w:p>
      <w:pPr>
        <w:pStyle w:val="BodyText"/>
      </w:pPr>
      <w:r>
        <w:t xml:space="preserve">The pipeline implementation generated aggressive stabilization descents finalizing at an absolute peak Validation subset WER curve resting upon exactly 51.44%. This directly progressed onto test environments establishing a verifiable Test Set WER performance marking exactly 50.91% structurally at Epoch 98.</w:t>
      </w:r>
    </w:p>
    <w:bookmarkStart w:id="32" w:name="tab:final_eval"/>
    <w:p>
      <w:pPr>
        <w:pStyle w:val="TableCaption"/>
      </w:pPr>
      <w:r>
        <w:t xml:space="preserve">Final Model Performance Evaluation Summary</w:t>
      </w:r>
    </w:p>
    <w:tbl>
      <w:tblPr>
        <w:tblStyle w:val="Table"/>
        <w:tblW w:type="auto" w:w="0"/>
        <w:tblLook w:firstRow="1" w:lastRow="0" w:firstColumn="0" w:lastColumn="0" w:noHBand="0" w:noVBand="0" w:val="0020"/>
        <w:tblCaption w:val="Final Model Performance Evaluation Summary"/>
      </w:tblPr>
      <w:tblGrid>
        <w:gridCol w:w="2640"/>
        <w:gridCol w:w="2640"/>
        <w:gridCol w:w="2640"/>
      </w:tblGrid>
      <w:tr>
        <w:trPr>
          <w:tblHeader w:val="on"/>
        </w:trPr>
        <w:tc>
          <w:tcPr/>
          <w:p>
            <w:pPr>
              <w:pStyle w:val="Compact"/>
              <w:jc w:val="left"/>
            </w:pPr>
            <w:r>
              <w:rPr>
                <w:b/>
                <w:bCs/>
              </w:rPr>
              <w:t xml:space="preserve">Analytical Metric</w:t>
            </w:r>
          </w:p>
        </w:tc>
        <w:tc>
          <w:tcPr/>
          <w:p>
            <w:pPr>
              <w:pStyle w:val="Compact"/>
              <w:jc w:val="center"/>
            </w:pPr>
            <w:r>
              <w:rPr>
                <w:b/>
                <w:bCs/>
              </w:rPr>
              <w:t xml:space="preserve">Development Set</w:t>
            </w:r>
          </w:p>
        </w:tc>
        <w:tc>
          <w:tcPr/>
          <w:p>
            <w:pPr>
              <w:pStyle w:val="Compact"/>
              <w:jc w:val="center"/>
            </w:pPr>
            <w:r>
              <w:rPr>
                <w:b/>
                <w:bCs/>
              </w:rPr>
              <w:t xml:space="preserve">Test Set</w:t>
            </w:r>
          </w:p>
        </w:tc>
      </w:tr>
      <w:tr>
        <w:tc>
          <w:tcPr/>
          <w:p>
            <w:pPr>
              <w:pStyle w:val="Compact"/>
              <w:jc w:val="left"/>
            </w:pPr>
            <w:r>
              <w:t xml:space="preserve">Word Error Rate (WER)</w:t>
            </w:r>
          </w:p>
        </w:tc>
        <w:tc>
          <w:tcPr/>
          <w:p>
            <w:pPr>
              <w:pStyle w:val="Compact"/>
              <w:jc w:val="center"/>
            </w:pPr>
            <w:r>
              <w:t xml:space="preserve">51.44%</w:t>
            </w:r>
          </w:p>
        </w:tc>
        <w:tc>
          <w:tcPr/>
          <w:p>
            <w:pPr>
              <w:pStyle w:val="Compact"/>
              <w:jc w:val="center"/>
            </w:pPr>
            <w:r>
              <w:rPr>
                <w:b/>
                <w:bCs/>
              </w:rPr>
              <w:t xml:space="preserve">50.91%</w:t>
            </w:r>
          </w:p>
        </w:tc>
      </w:tr>
      <w:tr>
        <w:tc>
          <w:tcPr/>
          <w:p>
            <w:pPr>
              <w:pStyle w:val="Compact"/>
              <w:jc w:val="left"/>
            </w:pPr>
            <w:r>
              <w:t xml:space="preserve">Blank Output Prediction Ratio</w:t>
            </w:r>
          </w:p>
        </w:tc>
        <w:tc>
          <w:tcPr/>
          <w:p>
            <w:pPr>
              <w:pStyle w:val="Compact"/>
              <w:jc w:val="center"/>
            </w:pPr>
            <w:r>
              <w:t xml:space="preserve">12.3%</w:t>
            </w:r>
          </w:p>
        </w:tc>
        <w:tc>
          <w:tcPr/>
          <w:p>
            <w:pPr>
              <w:pStyle w:val="Compact"/>
              <w:jc w:val="center"/>
            </w:pPr>
            <w:r>
              <w:t xml:space="preserve">–</w:t>
            </w:r>
          </w:p>
        </w:tc>
      </w:tr>
      <w:tr>
        <w:tc>
          <w:tcPr/>
          <w:p>
            <w:pPr>
              <w:pStyle w:val="Compact"/>
              <w:jc w:val="left"/>
            </w:pPr>
            <w:r>
              <w:t xml:space="preserve">Optimal Convergence Epoch</w:t>
            </w:r>
          </w:p>
        </w:tc>
        <w:tc>
          <w:tcPr/>
          <w:p>
            <w:pPr>
              <w:pStyle w:val="Compact"/>
              <w:jc w:val="center"/>
            </w:pPr>
            <w:r>
              <w:t xml:space="preserve">98</w:t>
            </w:r>
          </w:p>
        </w:tc>
        <w:tc>
          <w:tcPr/>
          <w:p>
            <w:pPr>
              <w:pStyle w:val="Compact"/>
              <w:jc w:val="center"/>
            </w:pPr>
            <w:r>
              <w:t xml:space="preserve">–</w:t>
            </w:r>
          </w:p>
        </w:tc>
      </w:tr>
      <w:tr>
        <w:tc>
          <w:tcPr/>
          <w:p>
            <w:pPr>
              <w:pStyle w:val="Compact"/>
              <w:jc w:val="left"/>
            </w:pPr>
            <w:r>
              <w:t xml:space="preserve">Final Loss Accumulation Floor</w:t>
            </w:r>
          </w:p>
        </w:tc>
        <w:tc>
          <w:tcPr/>
          <w:p>
            <w:pPr>
              <w:pStyle w:val="Compact"/>
              <w:jc w:val="center"/>
            </w:pPr>
            <w:r>
              <w:t xml:space="preserve">0.0006</w:t>
            </w:r>
          </w:p>
        </w:tc>
        <w:tc>
          <w:tcPr/>
          <w:p>
            <w:pPr>
              <w:pStyle w:val="Compact"/>
              <w:jc w:val="center"/>
            </w:pPr>
            <w:r>
              <w:t xml:space="preserve">–</w:t>
            </w:r>
          </w:p>
        </w:tc>
      </w:tr>
    </w:tbl>
    <w:bookmarkEnd w:id="32"/>
    <w:p>
      <w:pPr>
        <w:pStyle w:val="BodyText"/>
      </w:pPr>
      <w:r>
        <w:t xml:space="preserve">The primary technological conclusion validated mathematically across these training progressions definitively confirms that purely isolated CTC operational logic inherently triggers alignment collapse into infinite continuous recursive blank predictive sequences in extreme environments.</w:t>
      </w:r>
    </w:p>
    <w:p>
      <w:pPr>
        <w:pStyle w:val="BodyText"/>
      </w:pPr>
      <w:r>
        <w:t xml:space="preserve">However, explicitly assigning a minority</w:t>
      </w:r>
      <w:r>
        <w:t xml:space="preserve"> </w:t>
      </w:r>
      <m:oMath>
        <m:r>
          <m:t>λ</m:t>
        </m:r>
        <m:r>
          <m:rPr>
            <m:sty m:val="p"/>
          </m:rPr>
          <m:t>=</m:t>
        </m:r>
        <m:r>
          <m:t>0.3</m:t>
        </m:r>
      </m:oMath>
      <w:r>
        <w:t xml:space="preserve"> </w:t>
      </w:r>
      <w:r>
        <w:t xml:space="preserve">weight coefficient constraint covering the purely alignment-dependent CTC layer mechanism, and actively transferring overriding</w:t>
      </w:r>
      <w:r>
        <w:t xml:space="preserve"> </w:t>
      </w:r>
      <m:oMath>
        <m:r>
          <m:t>λ</m:t>
        </m:r>
        <m:r>
          <m:rPr>
            <m:sty m:val="p"/>
          </m:rPr>
          <m:t>=</m:t>
        </m:r>
        <m:r>
          <m:t>0.7</m:t>
        </m:r>
      </m:oMath>
      <w:r>
        <w:t xml:space="preserve"> </w:t>
      </w:r>
      <w:r>
        <w:t xml:space="preserve">mathematical trajectory enforcement onto the robust auto-regressive context properties of the cross-entropy mapped Attention Decoder, absolute theoretical failure states were unequivocally countered. Initial pipeline progression runs originated at heavily randomized 91.75% WER milestones crossing early evaluation phases, ultimately decreasing continuously and settling linearly into the stable 50.91% final outcome floor.</w:t>
      </w:r>
    </w:p>
    <w:bookmarkEnd w:id="33"/>
    <w:bookmarkEnd w:id="34"/>
    <w:bookmarkStart w:id="37" w:name="X12814568d693148224bc9c988c04eafb33dba0a"/>
    <w:p>
      <w:pPr>
        <w:pStyle w:val="Heading1"/>
      </w:pPr>
      <w:r>
        <w:t xml:space="preserve">BIDIRECTIONAL SYSTEM (SPEECH-TO-SIGN EXTENSION)</w:t>
      </w:r>
    </w:p>
    <w:p>
      <w:pPr>
        <w:pStyle w:val="FirstParagraph"/>
      </w:pPr>
      <w:r>
        <w:t xml:space="preserve">While developing a robust Continuous Sign Language Recognition subsystem serves as a highly complex technological achievement, establishing unilateral text decoding fails to construct comprehensive communication networks. Symmetrical interaction across hearing and deaf communities inherently demands a closed-loop bidirectional logical protocol capable of routing standard audible linguistic expressions linearly back into functional visual sign language manifestations.</w:t>
      </w:r>
    </w:p>
    <w:p>
      <w:pPr>
        <w:pStyle w:val="BodyText"/>
      </w:pPr>
      <w:r>
        <w:t xml:space="preserve">To resolve this parameter, a highly sophisticated auxiliary architectural loop was subsequently designed mapping semantic German textual phrasing completely back through retrieval-based computational pipelines ending in rendered Sign Language visualization nodes.</w:t>
      </w:r>
    </w:p>
    <w:bookmarkStart w:id="35" w:name="reverse-production-architectural-setup"/>
    <w:p>
      <w:pPr>
        <w:pStyle w:val="Heading2"/>
      </w:pPr>
      <w:r>
        <w:t xml:space="preserve">Reverse Production Architectural Setup</w:t>
      </w:r>
    </w:p>
    <w:p>
      <w:pPr>
        <w:pStyle w:val="FirstParagraph"/>
      </w:pPr>
      <w:r>
        <w:t xml:space="preserve">This bidirectional production mechanism circumvents complicated generative pixel-based mapping topologies (such as adversarial GAN reconstructions which often present extreme unnatural distortions) by leveraging a strictly defined deterministic retrieval methodology. The process actively relies upon the 1,236 distinctive gloss semantic components internally normalized across the original training configurations.</w:t>
      </w:r>
    </w:p>
    <w:p>
      <w:pPr>
        <w:pStyle w:val="BodyText"/>
      </w:pPr>
      <w:r>
        <w:t xml:space="preserve">The entire procedure linearly routes incoming audio data structurally over three distinct procedural transition phases:</w:t>
      </w:r>
    </w:p>
    <w:p>
      <w:pPr>
        <w:numPr>
          <w:ilvl w:val="0"/>
          <w:numId w:val="1004"/>
        </w:numPr>
      </w:pPr>
      <w:r>
        <w:rPr>
          <w:b/>
          <w:bCs/>
        </w:rPr>
        <w:t xml:space="preserve">Automatic Speech Recognition Translation Phase</w:t>
      </w:r>
      <w:r>
        <w:t xml:space="preserve">: Incoming natural verbal audio theoretically transits external acoustic layers, resolving immediately into baseline linguistic text equivalents representing raw German conversational data.</w:t>
      </w:r>
    </w:p>
    <w:p>
      <w:pPr>
        <w:numPr>
          <w:ilvl w:val="0"/>
          <w:numId w:val="1004"/>
        </w:numPr>
      </w:pPr>
      <w:r>
        <w:rPr>
          <w:b/>
          <w:bCs/>
        </w:rPr>
        <w:t xml:space="preserve">Text-to-Gloss Routing Matrix</w:t>
      </w:r>
      <w:r>
        <w:t xml:space="preserve">: Unstructured phrasing mathematically negotiates a predefined logic filtering matrix matching core grammatical verbs and syntax sequences exclusively into recognized continuous gloss translation strings native to Deutsche Gebärdensprache (DGS) vocabulary domains.</w:t>
      </w:r>
    </w:p>
    <w:p>
      <w:pPr>
        <w:numPr>
          <w:ilvl w:val="0"/>
          <w:numId w:val="1004"/>
        </w:numPr>
      </w:pPr>
      <w:r>
        <w:rPr>
          <w:b/>
          <w:bCs/>
        </w:rPr>
        <w:t xml:space="preserve">Gloss-to-Video Synchronization Engine</w:t>
      </w:r>
      <w:r>
        <w:t xml:space="preserve">: Localized real-world indexed visual sequences are extracted individually. The physical compilation index tracks over 1000 independent continuous sign sub-clips mapping specifically upon every defined target gloss output variant. These independent spatial blocks are contextually queued inside dynamic video loading arrays and subsequently merged algorithmically producing a seamless, fluid temporal sequence representing the final physical translation objective.</w:t>
      </w:r>
    </w:p>
    <w:bookmarkEnd w:id="35"/>
    <w:bookmarkStart w:id="36" w:name="X5dd5288cebe075d3fe8c3bcd1427bf9548586b1"/>
    <w:p>
      <w:pPr>
        <w:pStyle w:val="Heading2"/>
      </w:pPr>
      <w:r>
        <w:t xml:space="preserve">Real-Time Bidirectional Demonstration Engine</w:t>
      </w:r>
    </w:p>
    <w:p>
      <w:pPr>
        <w:pStyle w:val="FirstParagraph"/>
      </w:pPr>
      <w:r>
        <w:t xml:space="preserve">To systematically validate the continuous mathematical configurations underlying both the complex multi-headed transformer arrays alongside the deterministic reverse tracking retrieval algorithms, a comprehensive graphical user interface (‘demo_bidirectional_desktop.py‘) client application was structurally deployed acting as a singular unified interpretation portal context interface.</w:t>
      </w:r>
    </w:p>
    <w:p>
      <w:pPr>
        <w:pStyle w:val="BodyText"/>
      </w:pPr>
      <w:r>
        <w:t xml:space="preserve">The demonstration desktop utilizes the lightweight ‘Tkinter‘ and ‘OpenCV‘ graphical rendering pathways, efficiently allocating heavy network executions into cleanly separated multithreaded processing units. During Sign-to-Text inference modes, the primary UI thread polls visual camera hardware caches recursively allocating matrix structures natively mapping exact</w:t>
      </w:r>
      <w:r>
        <w:t xml:space="preserve"> </w:t>
      </w:r>
      <m:oMath>
        <m:r>
          <m:t>64</m:t>
        </m:r>
        <m:r>
          <m:rPr>
            <m:sty m:val="p"/>
          </m:rPr>
          <m:t>×</m:t>
        </m:r>
        <m:r>
          <m:t>3</m:t>
        </m:r>
        <m:r>
          <m:rPr>
            <m:sty m:val="p"/>
          </m:rPr>
          <m:t>×</m:t>
        </m:r>
        <m:r>
          <m:t>260</m:t>
        </m:r>
        <m:r>
          <m:rPr>
            <m:sty m:val="p"/>
          </m:rPr>
          <m:t>×</m:t>
        </m:r>
        <m:r>
          <m:t>210</m:t>
        </m:r>
      </m:oMath>
      <w:r>
        <w:t xml:space="preserve"> </w:t>
      </w:r>
      <w:r>
        <w:t xml:space="preserve">frame sequences into local tensor arrays. These caches directly transmit forward into the compiled ‘HybridCTCAttentionModel‘ checkpoint matrices functioning concurrently on secondary computational background loops avoiding structural user-end UI locking patterns. Emitted gloss distributions mathematically decouple, instantly rewriting string variables logically back over continuous real-time text output GUI displays.</w:t>
      </w:r>
    </w:p>
    <w:p>
      <w:pPr>
        <w:pStyle w:val="BodyText"/>
      </w:pPr>
      <w:r>
        <w:t xml:space="preserve">Conversely, establishing the exact secondary reverse execution mode logic (Speech-to-Sign), the UI manages real-time string monitoring triggers. Active users directly insert translated semantic text fields initiating localized retrieval matrices extracting continuous localized video frame sequences directly buffering seamlessly onto the presentation window space. This final visual translation portal effectively documents the absolute verification defining true holistic symmetric bidirectional system functionality running purely on end-user hardware specifications.</w:t>
      </w:r>
    </w:p>
    <w:bookmarkEnd w:id="36"/>
    <w:bookmarkEnd w:id="37"/>
    <w:bookmarkStart w:id="40" w:name="conclusion-and-future-work"/>
    <w:p>
      <w:pPr>
        <w:pStyle w:val="Heading1"/>
      </w:pPr>
      <w:r>
        <w:t xml:space="preserve">CONCLUSION AND FUTURE WORK</w:t>
      </w:r>
    </w:p>
    <w:bookmarkStart w:id="38" w:name="summary-of-contributions"/>
    <w:p>
      <w:pPr>
        <w:pStyle w:val="Heading2"/>
      </w:pPr>
      <w:r>
        <w:t xml:space="preserve">Summary of Contributions</w:t>
      </w:r>
    </w:p>
    <w:p>
      <w:pPr>
        <w:pStyle w:val="FirstParagraph"/>
      </w:pPr>
      <w:r>
        <w:t xml:space="preserve">The primary directive of this master’s thesis was to establish a deeply analyzed, mathematically sound technological foundation enabling bidirectional continuous sign language interpretation across strict hardware limitations. Through rigorous methodology mapping raw video feature extraction directly into sequence transduction layers, the core accomplishments address the fundamentally identified research hypotheses:</w:t>
      </w:r>
    </w:p>
    <w:p>
      <w:pPr>
        <w:numPr>
          <w:ilvl w:val="0"/>
          <w:numId w:val="1005"/>
        </w:numPr>
      </w:pPr>
      <w:r>
        <w:rPr>
          <w:b/>
          <w:bCs/>
        </w:rPr>
        <w:t xml:space="preserve">Analytical Resolution of the CTC Collapse Paradigm</w:t>
      </w:r>
      <w:r>
        <w:t xml:space="preserve">: Experimental validations conclusively proved that purely temporal alignment modules operating via CTC inherently suffer mathematically irreversible convergence failure on deep video arrays. By aggressively bridging a specialized autoregressive sequence modeling Attention decoder directly against the shared spatial ResNet backbone, systemic structural collapse was universally mitigated without breaking end-to-end framework differentiable states.</w:t>
      </w:r>
    </w:p>
    <w:p>
      <w:pPr>
        <w:numPr>
          <w:ilvl w:val="0"/>
          <w:numId w:val="1005"/>
        </w:numPr>
      </w:pPr>
      <w:r>
        <w:rPr>
          <w:b/>
          <w:bCs/>
        </w:rPr>
        <w:t xml:space="preserve">Continuous Mathematical Optimization Strategy</w:t>
      </w:r>
      <w:r>
        <w:t xml:space="preserve">: Leveraging aggressive topological regularization techniques crossing spatial random scaling, heavy chronological temporal permutation masks, and decoupled learning rate scaling dynamics across optimization domains, testing benchmarks mathematically verified a consistent 50.91% Word Error Rate. This explicitly establishes the operational computational viability required when isolating heavy unsegmented models across extreme limited 4-batch hardware constraints.</w:t>
      </w:r>
    </w:p>
    <w:p>
      <w:pPr>
        <w:numPr>
          <w:ilvl w:val="0"/>
          <w:numId w:val="1005"/>
        </w:numPr>
      </w:pPr>
      <w:r>
        <w:rPr>
          <w:b/>
          <w:bCs/>
        </w:rPr>
        <w:t xml:space="preserve">Demonstrable Bidirectional Deployment Interfaces</w:t>
      </w:r>
      <w:r>
        <w:t xml:space="preserve">: Pure recognition frameworks solve intrinsically limited subsets establishing asymmetric communication pipelines. Integrating the base recognition checkpoints seamlessly inside reverse translation deterministic retrieval architectures generated bidirectional capacities effectively routing continuous German semantic vocabularies natively back toward visual production mediums serving absolute communication parity parameters.</w:t>
      </w:r>
    </w:p>
    <w:p>
      <w:pPr>
        <w:numPr>
          <w:ilvl w:val="0"/>
          <w:numId w:val="1005"/>
        </w:numPr>
      </w:pPr>
      <w:r>
        <w:rPr>
          <w:b/>
          <w:bCs/>
        </w:rPr>
        <w:t xml:space="preserve">High-Latency Real-Time Implementation Metrics</w:t>
      </w:r>
      <w:r>
        <w:t xml:space="preserve">: Translating conceptual architectural models accurately requires rigorous operational evaluation against strict physical deployment constraints. An interactively synchronized desktop client application executed true multithreaded logic proving reliable extraction, immediate matrix evaluation, and steady visual buffering simultaneously across live consumer camera optics.</w:t>
      </w:r>
    </w:p>
    <w:bookmarkEnd w:id="38"/>
    <w:bookmarkStart w:id="39" w:name="Xac6df61bc5a0e77b4b7fb3a797068b3850d79b5"/>
    <w:p>
      <w:pPr>
        <w:pStyle w:val="Heading2"/>
      </w:pPr>
      <w:r>
        <w:t xml:space="preserve">Future Research and Technical Optimizations</w:t>
      </w:r>
    </w:p>
    <w:p>
      <w:pPr>
        <w:pStyle w:val="FirstParagraph"/>
      </w:pPr>
      <w:r>
        <w:t xml:space="preserve">Considerable analytical evidence derived from standard pipeline metrics defines extensively targeted pathways theoretically enabling gradient descent curves to navigate the isolated benchmark gap separating 50% operational WER statistics directly closer towards published unconstrained 20% State of the Art environments.</w:t>
      </w:r>
    </w:p>
    <w:p>
      <w:pPr>
        <w:numPr>
          <w:ilvl w:val="0"/>
          <w:numId w:val="1006"/>
        </w:numPr>
      </w:pPr>
      <w:r>
        <w:rPr>
          <w:b/>
          <w:bCs/>
        </w:rPr>
        <w:t xml:space="preserve">Expanded Computational Scale Boundaries</w:t>
      </w:r>
      <w:r>
        <w:t xml:space="preserve">: Systemically elevating strict sequence hardware bottlenecks theoretically bridging frame boundaries exclusively past 64 elements mandates heavy gradient checkpointing logic implementations. This guarantees necessary mathematical preservation scaling deeply into overarching semantic logic models heavily dictating temporal grammatical offsets natively present in complex signed semantics.</w:t>
      </w:r>
    </w:p>
    <w:p>
      <w:pPr>
        <w:numPr>
          <w:ilvl w:val="0"/>
          <w:numId w:val="1006"/>
        </w:numPr>
      </w:pPr>
      <w:r>
        <w:rPr>
          <w:b/>
          <w:bCs/>
        </w:rPr>
        <w:t xml:space="preserve">Explicit Visual Alignment Constraint (VAC) Supervision</w:t>
      </w:r>
      <w:r>
        <w:t xml:space="preserve">: Structurally enforcing mandatory monotonic alignment constraints isolated strictly upon predictive derivations inherently restricts mathematically disjoint permutation variables. Specifically appending secondary temporal consistency equations mathematically forces internal mapping systems rigidly suppressing localized alignment uncertainty parameters</w:t>
      </w:r>
      <w:r>
        <w:t xml:space="preserve"> </w:t>
      </w:r>
      <w:r>
        <w:t xml:space="preserve">.</w:t>
      </w:r>
    </w:p>
    <w:p>
      <w:pPr>
        <w:numPr>
          <w:ilvl w:val="0"/>
          <w:numId w:val="1006"/>
        </w:numPr>
      </w:pPr>
      <w:r>
        <w:rPr>
          <w:b/>
          <w:bCs/>
        </w:rPr>
        <w:t xml:space="preserve">Topological Multi-Scale Extraction Protocols</w:t>
      </w:r>
      <w:r>
        <w:t xml:space="preserve">: Standard convolution parameters uniformly extract static dimensional representations. Structurally appending concurrent temporal tracking loops operating recursively covering distinct overlapping interval multiples inherently extracts extreme duration independent trajectory signatures isolating subtle short-activation spatial representations natively hidden during global averaging configurations.</w:t>
      </w:r>
    </w:p>
    <w:p>
      <w:pPr>
        <w:numPr>
          <w:ilvl w:val="0"/>
          <w:numId w:val="1006"/>
        </w:numPr>
      </w:pPr>
      <w:r>
        <w:rPr>
          <w:b/>
          <w:bCs/>
        </w:rPr>
        <w:t xml:space="preserve">Cross-Domain Generalization Architectures</w:t>
      </w:r>
      <w:r>
        <w:t xml:space="preserve">: Overarching computational extensions unequivocally demand strict dataset invariant evaluations projecting established German syntax extraction structures cleanly upon distinctly formatted foreign domains (American Sign Language or Indian Sign Language frameworks).</w:t>
      </w:r>
    </w:p>
    <w:p>
      <w:pPr>
        <w:pStyle w:val="FirstParagraph"/>
      </w:pPr>
      <w:r>
        <w:t xml:space="preserve">Ultimately, these core pipeline foundations rigorously document the transitional parameters facilitating continuous unsegmented topological structures mathematically validating bidirectional interpretation endpoints intrinsically.</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2026-04-26T03:20:52Z</dcterms:created>
  <dcterms:modified xsi:type="dcterms:W3CDTF">2026-04-26T03:20:52Z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