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CONTINUOUS SIGN LANGUAGE RECOGNITION USING</w:t>
      </w:r>
      <w:r>
        <w:br/>
      </w:r>
      <w:r>
        <w:rPr>
          <w:b/>
          <w:bCs/>
        </w:rPr>
        <w:t xml:space="preserve">HYBRID CTC AND ATTENTION TRANSFORMERS:</w:t>
      </w:r>
      <w:r>
        <w:br/>
      </w:r>
      <w:r>
        <w:rPr>
          <w:b/>
          <w:bCs/>
        </w:rPr>
        <w:t xml:space="preserve">A BIDIRECTIONAL APPROACH</w:t>
      </w:r>
    </w:p>
    <w:p>
      <w:pPr>
        <w:pStyle w:val="BodyText"/>
      </w:pPr>
      <w:r>
        <w:t xml:space="preserve">A Thesis</w:t>
      </w:r>
      <w:r>
        <w:br/>
      </w:r>
      <w:r>
        <w:t xml:space="preserve">Presented to</w:t>
      </w:r>
      <w:r>
        <w:br/>
      </w:r>
      <w:r>
        <w:t xml:space="preserve">The Academic Faculty</w:t>
      </w:r>
    </w:p>
    <w:p>
      <w:pPr>
        <w:pStyle w:val="BodyText"/>
      </w:pPr>
      <w:r>
        <w:t xml:space="preserve">by</w:t>
      </w:r>
    </w:p>
    <w:p>
      <w:pPr>
        <w:pStyle w:val="BodyText"/>
      </w:pPr>
      <w:r>
        <w:t xml:space="preserve">CHANDAN KUMAR</w:t>
      </w:r>
    </w:p>
    <w:p>
      <w:pPr>
        <w:pStyle w:val="BodyText"/>
      </w:pPr>
      <w:r>
        <w:t xml:space="preserve">In Partial Fulfillment</w:t>
      </w:r>
      <w:r>
        <w:br/>
      </w:r>
      <w:r>
        <w:t xml:space="preserve">of the Requirements for the M. Tech. Degree</w:t>
      </w:r>
    </w:p>
    <w:p>
      <w:pPr>
        <w:pStyle w:val="BodyText"/>
      </w:pPr>
      <w:r>
        <w:t xml:space="preserve">Indian Institute of Technology Patna</w:t>
      </w:r>
      <w:r>
        <w:br/>
      </w:r>
      <w:r>
        <w:t xml:space="preserve">APRIL 2026</w:t>
      </w:r>
    </w:p>
    <w:p>
      <w:pPr>
        <w:pStyle w:val="BodyText"/>
      </w:pPr>
      <w:r>
        <w:t xml:space="preserve">Copyright © Chandan Kumar 2026</w:t>
      </w:r>
      <w:r>
        <w:br/>
      </w:r>
      <w:r>
        <w:t xml:space="preserve">All Rights Reserved</w:t>
      </w:r>
    </w:p>
    <w:p>
      <w:pPr>
        <w:pStyle w:val="BodyText"/>
      </w:pPr>
      <w:r>
        <w:rPr>
          <w:b/>
          <w:bCs/>
        </w:rPr>
        <w:t xml:space="preserve">INDIAN INSTITUTE OF TECHNOLOGY PATNA</w:t>
      </w:r>
      <w:r>
        <w:br/>
      </w:r>
      <w:r>
        <w:rPr>
          <w:b/>
          <w:bCs/>
        </w:rPr>
        <w:t xml:space="preserve">Evaluation Committee Approval</w:t>
      </w:r>
    </w:p>
    <w:p>
      <w:pPr>
        <w:pStyle w:val="BodyText"/>
      </w:pPr>
      <w:r>
        <w:t xml:space="preserve">of a Thesis submitted by</w:t>
      </w:r>
    </w:p>
    <w:p>
      <w:pPr>
        <w:pStyle w:val="BodyText"/>
      </w:pPr>
      <w:r>
        <w:t xml:space="preserve">CHANDAN KUMAR</w:t>
      </w:r>
    </w:p>
    <w:p>
      <w:pPr>
        <w:pStyle w:val="BodyText"/>
      </w:pPr>
      <w:r>
        <w:t xml:space="preserve">The thesis of Chandan Kumar has been read, found satisfactory and approved by the following DPPC committee members.</w:t>
      </w:r>
    </w:p>
    <w:p>
      <w:pPr>
        <w:pStyle w:val="BodyText"/>
      </w:pPr>
      <w:r>
        <w:t xml:space="preserve">Name : 1</w:t>
      </w:r>
    </w:p>
    <w:p>
      <w:r>
        <w:pict>
          <v:rect style="width:0;height:1.5pt" o:hralign="center" o:hrstd="t" o:hr="t"/>
        </w:pict>
      </w:r>
    </w:p>
    <w:p>
      <w:pPr>
        <w:pStyle w:val="FirstParagraph"/>
      </w:pPr>
      <w:r>
        <w:t xml:space="preserve">, Supervisor Date :</w:t>
      </w:r>
    </w:p>
    <w:p>
      <w:r>
        <w:pict>
          <v:rect style="width:0;height:1.5pt" o:hralign="center" o:hrstd="t" o:hr="t"/>
        </w:pict>
      </w:r>
    </w:p>
    <w:p>
      <w:pPr>
        <w:pStyle w:val="FirstParagraph"/>
      </w:pPr>
      <w:r>
        <w:t xml:space="preserve">Name : 2</w:t>
      </w:r>
    </w:p>
    <w:p>
      <w:r>
        <w:pict>
          <v:rect style="width:0;height:1.5pt" o:hralign="center" o:hrstd="t" o:hr="t"/>
        </w:pict>
      </w:r>
    </w:p>
    <w:p>
      <w:pPr>
        <w:pStyle w:val="FirstParagraph"/>
      </w:pPr>
      <w:r>
        <w:t xml:space="preserve">, Co-Supervisor Date :</w:t>
      </w:r>
    </w:p>
    <w:p>
      <w:r>
        <w:pict>
          <v:rect style="width:0;height:1.5pt" o:hralign="center" o:hrstd="t" o:hr="t"/>
        </w:pict>
      </w:r>
    </w:p>
    <w:p>
      <w:pPr>
        <w:pStyle w:val="FirstParagraph"/>
      </w:pPr>
      <w:r>
        <w:t xml:space="preserve">Name : 3</w:t>
      </w:r>
    </w:p>
    <w:p>
      <w:r>
        <w:pict>
          <v:rect style="width:0;height:1.5pt" o:hralign="center" o:hrstd="t" o:hr="t"/>
        </w:pict>
      </w:r>
    </w:p>
    <w:p>
      <w:pPr>
        <w:pStyle w:val="FirstParagraph"/>
      </w:pPr>
      <w:r>
        <w:t xml:space="preserve">, Member Date :</w:t>
      </w:r>
    </w:p>
    <w:p>
      <w:r>
        <w:pict>
          <v:rect style="width:0;height:1.5pt" o:hralign="center" o:hrstd="t" o:hr="t"/>
        </w:pict>
      </w:r>
    </w:p>
    <w:p>
      <w:pPr>
        <w:pStyle w:val="FirstParagraph"/>
      </w:pPr>
      <w:r>
        <w:t xml:space="preserve">Name : 4</w:t>
      </w:r>
    </w:p>
    <w:p>
      <w:r>
        <w:pict>
          <v:rect style="width:0;height:1.5pt" o:hralign="center" o:hrstd="t" o:hr="t"/>
        </w:pict>
      </w:r>
    </w:p>
    <w:p>
      <w:pPr>
        <w:pStyle w:val="FirstParagraph"/>
      </w:pPr>
      <w:r>
        <w:t xml:space="preserve">, Member Date :</w:t>
      </w:r>
    </w:p>
    <w:p>
      <w:r>
        <w:pict>
          <v:rect style="width:0;height:1.5pt" o:hralign="center" o:hrstd="t" o:hr="t"/>
        </w:pict>
      </w:r>
    </w:p>
    <w:p>
      <w:pPr>
        <w:pStyle w:val="FirstParagraph"/>
      </w:pPr>
      <w:r>
        <w:rPr>
          <w:b/>
          <w:bCs/>
        </w:rPr>
        <w:t xml:space="preserve">Certificate</w:t>
      </w:r>
    </w:p>
    <w:p>
      <w:pPr>
        <w:pStyle w:val="BodyText"/>
      </w:pPr>
      <w:r>
        <w:t xml:space="preserve">This is to certify that the thesis entitled</w:t>
      </w:r>
      <w:r>
        <w:t xml:space="preserve"> </w:t>
      </w:r>
      <w:r>
        <w:t xml:space="preserve">“CONTINUOUS SIGN LANGUAGE RECOGNITION USING HYBRID CTC AND ATTENTION TRANSFORMERS: A BIDIRECTIONAL APPROACH”</w:t>
      </w:r>
      <w:r>
        <w:t xml:space="preserve">, submitted by CHANDAN KUMAR to Indian Institute of Technology Patna, is a record of bonafide research work under my (our) supervision and I (we) consider it worthy of consideration for the degree of Master of Technology of this Institute. This work or a part has not been submitted to any university/institution for the award of degree/diploma. The thesis is free from plagiarized material.</w:t>
      </w:r>
    </w:p>
    <w:p>
      <w:r>
        <w:pict>
          <v:rect style="width:0;height:1.5pt" o:hralign="center" o:hrstd="t" o:hr="t"/>
        </w:pict>
      </w:r>
    </w:p>
    <w:p>
      <w:pPr>
        <w:pStyle w:val="FirstParagraph"/>
      </w:pPr>
      <w:r>
        <w:br/>
      </w:r>
      <w:r>
        <w:t xml:space="preserve">Supervisor Date:</w:t>
      </w:r>
    </w:p>
    <w:p>
      <w:r>
        <w:pict>
          <v:rect style="width:0;height:1.5pt" o:hralign="center" o:hrstd="t" o:hr="t"/>
        </w:pict>
      </w:r>
    </w:p>
    <w:p>
      <w:pPr>
        <w:pStyle w:val="FirstParagraph"/>
      </w:pPr>
      <w:r>
        <w:rPr>
          <w:b/>
          <w:bCs/>
        </w:rPr>
        <w:t xml:space="preserve">Declaration</w:t>
      </w:r>
    </w:p>
    <w:p>
      <w:pPr>
        <w:pStyle w:val="BodyText"/>
      </w:pPr>
      <w:r>
        <w:t xml:space="preserve">I certify that</w:t>
      </w:r>
    </w:p>
    <w:p>
      <w:pPr>
        <w:numPr>
          <w:ilvl w:val="0"/>
          <w:numId w:val="1001"/>
        </w:numPr>
      </w:pPr>
      <w:r>
        <w:t xml:space="preserve">The work contained in this thesis is original and has been done by myself under the general supervision of my supervisor/s.</w:t>
      </w:r>
    </w:p>
    <w:p>
      <w:pPr>
        <w:numPr>
          <w:ilvl w:val="0"/>
          <w:numId w:val="1001"/>
        </w:numPr>
      </w:pPr>
      <w:r>
        <w:t xml:space="preserve">The work has not been submitted to any other Institute for degree or diploma.</w:t>
      </w:r>
    </w:p>
    <w:p>
      <w:pPr>
        <w:numPr>
          <w:ilvl w:val="0"/>
          <w:numId w:val="1001"/>
        </w:numPr>
      </w:pPr>
      <w:r>
        <w:t xml:space="preserve">I have followed the Institute norms and guidelines and abide by the regulation as given in the Ethical Code of Conduct of the Institute.</w:t>
      </w:r>
    </w:p>
    <w:p>
      <w:pPr>
        <w:numPr>
          <w:ilvl w:val="0"/>
          <w:numId w:val="1001"/>
        </w:numPr>
      </w:pPr>
      <w:r>
        <w:t xml:space="preserve">Whenever I have used materials (data, theory and text) from other sources, I have given due credit to them by citing them in the text of the thesis and giving their details in the reference section.</w:t>
      </w:r>
    </w:p>
    <w:p>
      <w:pPr>
        <w:numPr>
          <w:ilvl w:val="0"/>
          <w:numId w:val="1001"/>
        </w:numPr>
      </w:pPr>
      <w:r>
        <w:t xml:space="preserve">The thesis document has been thoroughly checked to exclude plagiarism.</w:t>
      </w:r>
    </w:p>
    <w:p>
      <w:r>
        <w:pict>
          <v:rect style="width:0;height:1.5pt" o:hralign="center" o:hrstd="t" o:hr="t"/>
        </w:pict>
      </w:r>
    </w:p>
    <w:p>
      <w:pPr>
        <w:pStyle w:val="FirstParagraph"/>
      </w:pPr>
      <w:r>
        <w:br/>
      </w:r>
      <w:r>
        <w:t xml:space="preserve">Signature of the Student</w:t>
      </w:r>
      <w:r>
        <w:br/>
      </w:r>
      <w:r>
        <w:t xml:space="preserve">Roll No:</w:t>
      </w:r>
    </w:p>
    <w:p>
      <w:pPr>
        <w:pStyle w:val="BodyText"/>
      </w:pPr>
      <w:r>
        <w:rPr>
          <w:b/>
          <w:bCs/>
        </w:rPr>
        <w:t xml:space="preserve">ACKNOWLEDGEMENTS</w:t>
      </w:r>
    </w:p>
    <w:p>
      <w:pPr>
        <w:pStyle w:val="BodyText"/>
      </w:pPr>
      <w:r>
        <w:t xml:space="preserve">I wish to thank my esteemed supervisor for their invaluable guidance and support throughout this continuous sign language recognition research. I would also like to deeply acknowledge the Indian Institute of Technology Patna for providing the structural resources and hardware allocations required to accomplish this study. Finally, my deepest gratitude physically goes to my parents, without whose endless encouragement I would not have succeeded.</w:t>
      </w:r>
    </w:p>
    <w:p>
      <w:pPr>
        <w:pStyle w:val="BodyText"/>
      </w:pPr>
      <w:r>
        <w:rPr>
          <w:b/>
          <w:bCs/>
        </w:rPr>
        <w:t xml:space="preserve">ABSTRACT</w:t>
      </w:r>
    </w:p>
    <w:p>
      <w:pPr>
        <w:pStyle w:val="BodyText"/>
      </w:pPr>
      <w:r>
        <w:t xml:space="preserve">Continuous Sign Language Recognition (CSLR) represents an extraordinarily complex computer vision challenge characterized by unsegmented sentence alignments and rapid spatial variations. This thesis isolates and definitively resolves the mathematical deterioration inherent to pure Connectionist Temporal Classification (CTC) alignment modeling using spatial networks on limited datasets, commonly referred to as "CTC collapse." By architecting a structurally robust Hybrid CTC and Attention Transformer deep learning network, integrating an independent autoregressive sequential cross-entropy priority loop dynamically overlaid onto standard CTC inferences, the resulting model natively avoids catastrophic zero-state convergence. Evaluated formally across the extensive RWTH-PHOENIX-Weather 2014 multimedia dataset under severe hardware memory restrictions, the pipeline explicitly achieves a validation-proven 50.91% Word Error Rate. Furthermore, transitioning from unidirectional recognition arrays toward closed-loop bilateral accessibility, a complete graphical desktop application was successfully engineered featuring real-time threaded Sign-to-Text inference immediately coupled with deterministic text-to-video computational retrieval structures, proving full systematic communication viability.</w:t>
      </w:r>
    </w:p>
    <w:p>
      <w:pPr>
        <w:pStyle w:val="BodyText"/>
      </w:pPr>
      <w:r>
        <w:rPr>
          <w:b/>
          <w:bCs/>
        </w:rPr>
        <w:t xml:space="preserve">Name</w:t>
      </w:r>
      <w:r>
        <w:t xml:space="preserve">: Chandan Kumar</w:t>
      </w:r>
      <w:r>
        <w:br/>
      </w:r>
      <w:r>
        <w:rPr>
          <w:b/>
          <w:bCs/>
        </w:rPr>
        <w:t xml:space="preserve">Supervisor</w:t>
      </w:r>
      <w:r>
        <w:t xml:space="preserve">: [Supervisor Name]</w:t>
      </w:r>
    </w:p>
    <w:bookmarkStart w:id="14" w:name="introduction"/>
    <w:p>
      <w:pPr>
        <w:pStyle w:val="Heading1"/>
      </w:pPr>
      <w:r>
        <w:t xml:space="preserve">INTRODUCTION</w:t>
      </w:r>
    </w:p>
    <w:bookmarkStart w:id="9" w:name="background-and-motivation"/>
    <w:p>
      <w:pPr>
        <w:pStyle w:val="Heading2"/>
      </w:pPr>
      <w:r>
        <w:t xml:space="preserve">Background and Motivation</w:t>
      </w:r>
    </w:p>
    <w:p>
      <w:pPr>
        <w:pStyle w:val="FirstParagraph"/>
      </w:pPr>
      <w:r>
        <w:t xml:space="preserve">According to the World Health Organization, approximately 466 million people worldwide experience disabling hearing loss. For deaf communities spanning the globe, sign language serves as the primary, and often exclusively natural, mode of communication. Sign language is not merely a visual encoding of spoken words; it is a fully autonomous linguistic system characterized by its own complex grammar, fluid syntax, and rich spatial-temporal dependencies.</w:t>
      </w:r>
    </w:p>
    <w:p>
      <w:pPr>
        <w:pStyle w:val="BodyText"/>
      </w:pPr>
      <w:r>
        <w:t xml:space="preserve">Despite the critical importance of sign language, a severe shortage of qualified sign language interpreters creates widespread, systemic barriers. Deaf individuals frequently encounter overwhelming obstacles in educational institutions, healthcare facilities, governmental interactions, and routine social environments. This communication gap isolates the deaf community from the hearing population, necessitating technological interventions to build accessible conversational bridges.</w:t>
      </w:r>
    </w:p>
    <w:p>
      <w:pPr>
        <w:pStyle w:val="BodyText"/>
      </w:pPr>
      <w:r>
        <w:t xml:space="preserve">Advances in deep learning and computer vision have opened new possibilities for automated sign language interpretation. Early research largely focused on isolated sign recognition, successfully categorizing distinct, pre-segmented gestures in controlled environments. However, real-world communication does not occur in isolated segments. Continuous Sign Language Recognition (CSLR) deals with connected signs flowing in natural sentences, presenting drastically more complex spatial-temporal modeling requirements.</w:t>
      </w:r>
    </w:p>
    <w:bookmarkEnd w:id="9"/>
    <w:bookmarkStart w:id="10" w:name="literature-review-and-technical-context"/>
    <w:p>
      <w:pPr>
        <w:pStyle w:val="Heading2"/>
      </w:pPr>
      <w:r>
        <w:t xml:space="preserve">Literature Review and Technical Context</w:t>
      </w:r>
    </w:p>
    <w:p>
      <w:pPr>
        <w:pStyle w:val="FirstParagraph"/>
      </w:pPr>
      <w:r>
        <w:t xml:space="preserve">Historically, the resolution of continuous sign sequences natively relied upon dynamic temporal alignment methodologies. Koller et al.</w:t>
      </w:r>
      <w:r>
        <w:t xml:space="preserve"> </w:t>
      </w:r>
      <w:r>
        <w:t xml:space="preserve">established the foundational methodology for continuous unsegmented translation by merging deep Convolutional Neural Networks (CNN) with Hidden Markov Models (HMM), primarily evaluated against the standard RWTH-PHOENIX benchmark.</w:t>
      </w:r>
    </w:p>
    <w:p>
      <w:pPr>
        <w:pStyle w:val="BodyText"/>
      </w:pPr>
      <w:r>
        <w:t xml:space="preserve">However, modern deep learning fundamentally shifted towards Connectionist Temporal Classification (CTC) layers. CTC elegantly removes the strict data pair-mapping required by HMMs, actively calculating probability marginalizations across all valid internal sequence alignments. This enabled purely data-driven recurrent networks (LSTMs) to directly output gloss sequence distributions. Unfortunately, CTC structures inherently induce severe catastrophic failures when deployed across massive temporal videos mapped against very brief label subsets—a failure mode termed "CTC collapse." Specifically, the network trivially satisfies the mathematical loss equation by repeatedly emitting the predefined non-character "blank token" across the entire video, permanently rendering a 100% Word Error Rate.</w:t>
      </w:r>
    </w:p>
    <w:p>
      <w:pPr>
        <w:pStyle w:val="BodyText"/>
      </w:pPr>
      <w:r>
        <w:t xml:space="preserve">Recently, Camgöz et al.</w:t>
      </w:r>
      <w:r>
        <w:t xml:space="preserve"> </w:t>
      </w:r>
      <w:r>
        <w:t xml:space="preserve">introduced the Sign Language Transformer, demonstrating that substituting purely recurrent architectures with multi-headed attention mechanism topologies allowed the network to map deep long-range semantic dependencies directly across sequences. Extending this logic, Zhu et al.</w:t>
      </w:r>
      <w:r>
        <w:t xml:space="preserve"> </w:t>
      </w:r>
      <w:r>
        <w:t xml:space="preserve">and Hu et al.</w:t>
      </w:r>
      <w:r>
        <w:t xml:space="preserve"> </w:t>
      </w:r>
      <w:r>
        <w:t xml:space="preserve">independently proved that dynamically marrying standard CTC mathematical losses directly alongside secondary autoregressive Cross-Entropy priority variables successfully acts as a rigid temporal anchor, preventing the network sequence breakdown entirely.</w:t>
      </w:r>
    </w:p>
    <w:bookmarkEnd w:id="10"/>
    <w:bookmarkStart w:id="11" w:name="scope-and-limitations"/>
    <w:p>
      <w:pPr>
        <w:pStyle w:val="Heading2"/>
      </w:pPr>
      <w:r>
        <w:t xml:space="preserve">Scope and Limitations</w:t>
      </w:r>
    </w:p>
    <w:p>
      <w:pPr>
        <w:pStyle w:val="FirstParagraph"/>
      </w:pPr>
      <w:r>
        <w:t xml:space="preserve">While the theoretical application of deep continuous tracking proves viable, significant hardware and scoping limitations naturally restrain physical outcomes. Deep unsegmented video processing places profound loads across the physical Video Random Access Memory (VRAM) hierarchies of modern GPU configurations. Consequently, sequence structures are formally restricted to maximal spans of 64 contiguous frames during active backpropagation phases.</w:t>
      </w:r>
    </w:p>
    <w:bookmarkEnd w:id="11"/>
    <w:bookmarkStart w:id="12" w:name="preamble-to-objectives"/>
    <w:p>
      <w:pPr>
        <w:pStyle w:val="Heading2"/>
      </w:pPr>
      <w:r>
        <w:t xml:space="preserve">Preamble to Objectives</w:t>
      </w:r>
    </w:p>
    <w:p>
      <w:pPr>
        <w:pStyle w:val="FirstParagraph"/>
      </w:pPr>
      <w:r>
        <w:t xml:space="preserve">The transition from isolated gesture recognition to continuous unsegmented sequence translation presents distinct computer vision and machine learning hurdles regarding co-articulation, massive intra-class variance, and motion blur. Furthermore, establishing a unilateral system (Sign-to-Text) naturally only solves half the communication barrier; true accessibility demands a bidirectional framework capable of rendering text back into Signed Video.</w:t>
      </w:r>
    </w:p>
    <w:p>
      <w:pPr>
        <w:pStyle w:val="BodyText"/>
      </w:pPr>
      <w:r>
        <w:t xml:space="preserve">Therefore, this research aims to formally construct a full bilateral pipeline.</w:t>
      </w:r>
    </w:p>
    <w:bookmarkEnd w:id="12"/>
    <w:bookmarkStart w:id="13" w:name="objectives"/>
    <w:p>
      <w:pPr>
        <w:pStyle w:val="Heading2"/>
      </w:pPr>
      <w:r>
        <w:t xml:space="preserve">Objectives</w:t>
      </w:r>
    </w:p>
    <w:p>
      <w:pPr>
        <w:pStyle w:val="FirstParagraph"/>
      </w:pPr>
      <w:r>
        <w:t xml:space="preserve">The primary objectives forming the scope of this experimental research are defined as follows:</w:t>
      </w:r>
    </w:p>
    <w:p>
      <w:pPr>
        <w:numPr>
          <w:ilvl w:val="0"/>
          <w:numId w:val="1002"/>
        </w:numPr>
      </w:pPr>
      <w:r>
        <w:rPr>
          <w:b/>
          <w:bCs/>
        </w:rPr>
        <w:t xml:space="preserve">Architectural Stability</w:t>
      </w:r>
      <w:r>
        <w:t xml:space="preserve">: Develop a robust hybrid CSLR system utilizing a deep Convolutional Neural Network backbone paired with an Attention-based Transformer encoder-decoder framework to solve the CTC collapse paradigm.</w:t>
      </w:r>
    </w:p>
    <w:p>
      <w:pPr>
        <w:numPr>
          <w:ilvl w:val="0"/>
          <w:numId w:val="1002"/>
        </w:numPr>
      </w:pPr>
      <w:r>
        <w:rPr>
          <w:b/>
          <w:bCs/>
        </w:rPr>
        <w:t xml:space="preserve">Benchmark Performance</w:t>
      </w:r>
      <w:r>
        <w:t xml:space="preserve">: Establish competitive transcription accuracy on the universally recognized RWTH-PHOENIX-Weather 2014 dataset.</w:t>
      </w:r>
    </w:p>
    <w:p>
      <w:pPr>
        <w:numPr>
          <w:ilvl w:val="0"/>
          <w:numId w:val="1002"/>
        </w:numPr>
      </w:pPr>
      <w:r>
        <w:rPr>
          <w:b/>
          <w:bCs/>
        </w:rPr>
        <w:t xml:space="preserve">Bidirectional Interpretation</w:t>
      </w:r>
      <w:r>
        <w:t xml:space="preserve">: Implement a closed-loop interpretation system capable of recognizing continuous sign language into text, and conversely assembling retrieved sign video segments from real-time text input.</w:t>
      </w:r>
    </w:p>
    <w:p>
      <w:pPr>
        <w:numPr>
          <w:ilvl w:val="0"/>
          <w:numId w:val="1002"/>
        </w:numPr>
      </w:pPr>
      <w:r>
        <w:rPr>
          <w:b/>
          <w:bCs/>
        </w:rPr>
        <w:t xml:space="preserve">Practical Deployment</w:t>
      </w:r>
      <w:r>
        <w:t xml:space="preserve">: Engineer an interactive, real-time graphical user interface (GUI) unifying both the camera-based recognition networks and the text-to-video synthesis pipeline into a single demonstrable end-user client.</w:t>
      </w:r>
    </w:p>
    <w:bookmarkEnd w:id="13"/>
    <w:bookmarkEnd w:id="14"/>
    <w:bookmarkStart w:id="20" w:name="Xf6f6d7ad51cf2a50f6686830b2fe2e2c03348b5"/>
    <w:p>
      <w:pPr>
        <w:pStyle w:val="Heading1"/>
      </w:pPr>
      <w:r>
        <w:t xml:space="preserve">GENERAL EXPERIMENTAL/THEORETICAL TECHNIQUES AND INSTRUMENTATION</w:t>
      </w:r>
    </w:p>
    <w:bookmarkStart w:id="18" w:name="theoretical-methodologies"/>
    <w:p>
      <w:pPr>
        <w:pStyle w:val="Heading2"/>
      </w:pPr>
      <w:r>
        <w:t xml:space="preserve">Theoretical Methodologies</w:t>
      </w:r>
    </w:p>
    <w:p>
      <w:pPr>
        <w:pStyle w:val="FirstParagraph"/>
      </w:pPr>
      <w:r>
        <w:t xml:space="preserve">Automated machine interpretation spanning continuous temporal video data natively requires linking distinct spatial representation models smoothly alongside deep chronological processing mechanisms.</w:t>
      </w:r>
    </w:p>
    <w:bookmarkStart w:id="15" w:name="deep-spatial-convolutional-extraction"/>
    <w:p>
      <w:pPr>
        <w:pStyle w:val="Heading3"/>
      </w:pPr>
      <w:r>
        <w:t xml:space="preserve">Deep Spatial Convolutional Extraction</w:t>
      </w:r>
    </w:p>
    <w:p>
      <w:pPr>
        <w:pStyle w:val="FirstParagraph"/>
      </w:pPr>
      <w:r>
        <w:t xml:space="preserve">The primary extraction protocol relies heavily upon the theoretical formulation of the Residual Neural Network (ResNet). Unlike standard feed-forward convolutional hierarchies which suffer rapidly from vanishing gradient errors across deep topologies, ResNet intentionally injects skipped mathematical connections bridging non-adjacent activation states. This bypass logic allows gradients to traverse uninhibited across deep extraction networks, granting models the capacity to abstract deeply nuanced hand geometries and facial expressions natively without performance degradation. For this methodology, the 18-layer (ResNet-18) variant theoretically maps extreme spatial data down to exactly</w:t>
      </w:r>
      <w:r>
        <w:t xml:space="preserve"> </w:t>
      </w:r>
      <m:oMath>
        <m:r>
          <m:t>1</m:t>
        </m:r>
        <m:r>
          <m:rPr>
            <m:sty m:val="p"/>
          </m:rPr>
          <m:t>×</m:t>
        </m:r>
        <m:r>
          <m:t>1</m:t>
        </m:r>
      </m:oMath>
      <w:r>
        <w:t xml:space="preserve"> </w:t>
      </w:r>
      <w:r>
        <w:t xml:space="preserve">spatially pooled coordinate blocks.</w:t>
      </w:r>
    </w:p>
    <w:bookmarkEnd w:id="15"/>
    <w:bookmarkStart w:id="16" w:name="the-transformer-architecture"/>
    <w:p>
      <w:pPr>
        <w:pStyle w:val="Heading3"/>
      </w:pPr>
      <w:r>
        <w:t xml:space="preserve">The Transformer Architecture</w:t>
      </w:r>
    </w:p>
    <w:p>
      <w:pPr>
        <w:pStyle w:val="FirstParagraph"/>
      </w:pPr>
      <w:r>
        <w:t xml:space="preserve">At the core of the extraction pipeline operates the foundational Self-Attention mathematical equation defined universally across Transformer logic:</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Where</w:t>
      </w:r>
      <w:r>
        <w:t xml:space="preserve"> </w:t>
      </w:r>
      <m:oMath>
        <m:r>
          <m:t>Q</m:t>
        </m:r>
        <m:r>
          <m:rPr>
            <m:sty m:val="p"/>
          </m:rPr>
          <m:t>,</m:t>
        </m:r>
        <m:r>
          <m:t>K</m:t>
        </m:r>
        <m:r>
          <m:rPr>
            <m:sty m:val="p"/>
          </m:rPr>
          <m:t>,</m:t>
        </m:r>
        <m:r>
          <m:rPr>
            <m:nor/>
            <m:sty m:val="p"/>
          </m:rPr>
          <m:t>and </m:t>
        </m:r>
        <m:r>
          <m:t>V</m:t>
        </m:r>
      </m:oMath>
      <w:r>
        <w:t xml:space="preserve"> </w:t>
      </w:r>
      <w:r>
        <w:t xml:space="preserve">theoretically map the Query, Key, and Value dimensional projections. Because video frames lack inherent sequential bias in standard attention systems, explicit Sinusoidal Positional Encoding vectors are theoretically introduced mathematically scaling time parameters across</w:t>
      </w:r>
      <w:r>
        <w:t xml:space="preserve"> </w:t>
      </w:r>
      <m:oMath>
        <m:sSub>
          <m:e>
            <m:r>
              <m:t>d</m:t>
            </m:r>
          </m:e>
          <m:sub>
            <m:r>
              <m:t>m</m:t>
            </m:r>
            <m:r>
              <m:t>o</m:t>
            </m:r>
            <m:r>
              <m:t>d</m:t>
            </m:r>
            <m:r>
              <m:t>e</m:t>
            </m:r>
            <m:r>
              <m:t>l</m:t>
            </m:r>
          </m:sub>
        </m:sSub>
      </m:oMath>
      <w:r>
        <w:t xml:space="preserve"> </w:t>
      </w:r>
      <w:r>
        <w:t xml:space="preserve">properties:</w:t>
      </w:r>
    </w:p>
    <w:p>
      <w:pPr>
        <w:pStyle w:val="BodyText"/>
      </w:pPr>
      <m:oMathPara>
        <m:oMathParaPr>
          <m:jc m:val="center"/>
        </m:oMathParaPr>
        <m:oMath>
          <m:r>
            <m:t>P</m:t>
          </m:r>
          <m:sSub>
            <m:e>
              <m:r>
                <m:t>E</m:t>
              </m:r>
            </m:e>
            <m:sub>
              <m:r>
                <m:rPr>
                  <m:sty m:val="p"/>
                </m:rPr>
                <m:t>(</m:t>
              </m:r>
              <m:r>
                <m:t>p</m:t>
              </m:r>
              <m:r>
                <m:t>o</m:t>
              </m:r>
              <m:r>
                <m:t>s</m:t>
              </m:r>
              <m:r>
                <m:rPr>
                  <m:sty m:val="p"/>
                </m:rPr>
                <m:t>,</m:t>
              </m:r>
              <m:r>
                <m:t>2</m:t>
              </m:r>
              <m:r>
                <m:t>i</m:t>
              </m:r>
              <m:r>
                <m:rPr>
                  <m:sty m:val="p"/>
                </m:rPr>
                <m:t>)</m:t>
              </m:r>
            </m:sub>
          </m:sSub>
          <m:r>
            <m:rPr>
              <m:sty m:val="p"/>
            </m:rPr>
            <m:t>=</m:t>
          </m:r>
          <m:r>
            <m:rPr>
              <m:sty m:val="p"/>
            </m:rPr>
            <m:t>sin</m:t>
          </m:r>
          <m:r>
            <m:rPr>
              <m:sty m:val="p"/>
            </m:rPr>
            <m:t>(</m:t>
          </m:r>
          <m:r>
            <m:t>p</m:t>
          </m:r>
          <m:r>
            <m:t>o</m:t>
          </m:r>
          <m:r>
            <m:t>s</m:t>
          </m:r>
          <m:r>
            <m:rPr>
              <m:sty m:val="p"/>
            </m:rPr>
            <m:t>/</m:t>
          </m:r>
          <m:sSup>
            <m:e>
              <m:r>
                <m:t>10000</m:t>
              </m:r>
            </m:e>
            <m:sup>
              <m:r>
                <m:t>2</m:t>
              </m:r>
              <m:r>
                <m:t>i</m:t>
              </m:r>
              <m:r>
                <m:rPr>
                  <m:sty m:val="p"/>
                </m:rPr>
                <m:t>/</m:t>
              </m:r>
              <m:sSub>
                <m:e>
                  <m:r>
                    <m:t>d</m:t>
                  </m:r>
                </m:e>
                <m:sub>
                  <m:r>
                    <m:t>m</m:t>
                  </m:r>
                  <m:r>
                    <m:t>o</m:t>
                  </m:r>
                  <m:r>
                    <m:t>d</m:t>
                  </m:r>
                  <m:r>
                    <m:t>e</m:t>
                  </m:r>
                  <m:r>
                    <m:t>l</m:t>
                  </m:r>
                </m:sub>
              </m:sSub>
            </m:sup>
          </m:sSup>
          <m:r>
            <m:rPr>
              <m:sty m:val="p"/>
            </m:rPr>
            <m:t>)</m:t>
          </m:r>
        </m:oMath>
      </m:oMathPara>
    </w:p>
    <w:p>
      <w:pPr>
        <w:pStyle w:val="FirstParagraph"/>
      </w:pPr>
      <m:oMathPara>
        <m:oMathParaPr>
          <m:jc m:val="center"/>
        </m:oMathParaPr>
        <m:oMath>
          <m:r>
            <m:t>P</m:t>
          </m:r>
          <m:sSub>
            <m:e>
              <m:r>
                <m:t>E</m:t>
              </m:r>
            </m:e>
            <m:sub>
              <m:r>
                <m:rPr>
                  <m:sty m:val="p"/>
                </m:rPr>
                <m:t>(</m:t>
              </m:r>
              <m:r>
                <m:t>p</m:t>
              </m:r>
              <m:r>
                <m:t>o</m:t>
              </m:r>
              <m:r>
                <m:t>s</m:t>
              </m:r>
              <m:r>
                <m:rPr>
                  <m:sty m:val="p"/>
                </m:rPr>
                <m:t>,</m:t>
              </m:r>
              <m:r>
                <m:t>2</m:t>
              </m:r>
              <m:r>
                <m:t>i</m:t>
              </m:r>
              <m:r>
                <m:rPr>
                  <m:sty m:val="p"/>
                </m:rPr>
                <m:t>+</m:t>
              </m:r>
              <m:r>
                <m:t>1</m:t>
              </m:r>
              <m:r>
                <m:rPr>
                  <m:sty m:val="p"/>
                </m:rPr>
                <m:t>)</m:t>
              </m:r>
            </m:sub>
          </m:sSub>
          <m:r>
            <m:rPr>
              <m:sty m:val="p"/>
            </m:rPr>
            <m:t>=</m:t>
          </m:r>
          <m:r>
            <m:rPr>
              <m:sty m:val="p"/>
            </m:rPr>
            <m:t>cos</m:t>
          </m:r>
          <m:r>
            <m:rPr>
              <m:sty m:val="p"/>
            </m:rPr>
            <m:t>(</m:t>
          </m:r>
          <m:r>
            <m:t>p</m:t>
          </m:r>
          <m:r>
            <m:t>o</m:t>
          </m:r>
          <m:r>
            <m:t>s</m:t>
          </m:r>
          <m:r>
            <m:rPr>
              <m:sty m:val="p"/>
            </m:rPr>
            <m:t>/</m:t>
          </m:r>
          <m:sSup>
            <m:e>
              <m:r>
                <m:t>10000</m:t>
              </m:r>
            </m:e>
            <m:sup>
              <m:r>
                <m:t>2</m:t>
              </m:r>
              <m:r>
                <m:t>i</m:t>
              </m:r>
              <m:r>
                <m:rPr>
                  <m:sty m:val="p"/>
                </m:rPr>
                <m:t>/</m:t>
              </m:r>
              <m:sSub>
                <m:e>
                  <m:r>
                    <m:t>d</m:t>
                  </m:r>
                </m:e>
                <m:sub>
                  <m:r>
                    <m:t>m</m:t>
                  </m:r>
                  <m:r>
                    <m:t>o</m:t>
                  </m:r>
                  <m:r>
                    <m:t>d</m:t>
                  </m:r>
                  <m:r>
                    <m:t>e</m:t>
                  </m:r>
                  <m:r>
                    <m:t>l</m:t>
                  </m:r>
                </m:sub>
              </m:sSub>
            </m:sup>
          </m:sSup>
          <m:r>
            <m:rPr>
              <m:sty m:val="p"/>
            </m:rPr>
            <m:t>)</m:t>
          </m:r>
        </m:oMath>
      </m:oMathPara>
    </w:p>
    <w:bookmarkEnd w:id="16"/>
    <w:bookmarkStart w:id="17" w:name="Xd4a1d88d034fa098f024d48b49b478ca38b5aab"/>
    <w:p>
      <w:pPr>
        <w:pStyle w:val="Heading3"/>
      </w:pPr>
      <w:r>
        <w:t xml:space="preserve">Connectionist Temporal Classification (CTC)</w:t>
      </w:r>
    </w:p>
    <w:p>
      <w:pPr>
        <w:pStyle w:val="FirstParagraph"/>
      </w:pPr>
      <w:r>
        <w:t xml:space="preserve">CTC theory provides a differentiable pathway for explicitly aligning unsegmented input sequences against shorter textual string vocabularies. It assumes conditionally independent spatial frame probabilities, generating loss by marginalizing all statistically valid alignment paths containing intermediary standard string elements interlaced alongside predefined generic non-character "blank" properties:</w:t>
      </w:r>
    </w:p>
    <w:p>
      <w:pPr>
        <w:pStyle w:val="BodyText"/>
      </w:pPr>
      <m:oMathPara>
        <m:oMathParaPr>
          <m:jc m:val="center"/>
        </m:oMathParaPr>
        <m:oMath>
          <m:sSub>
            <m:e>
              <m:r>
                <m:t>L</m:t>
              </m:r>
            </m:e>
            <m:sub>
              <m:r>
                <m:t>C</m:t>
              </m:r>
              <m:r>
                <m:t>T</m:t>
              </m:r>
              <m:r>
                <m:t>C</m:t>
              </m:r>
            </m:sub>
          </m:sSub>
          <m:r>
            <m:rPr>
              <m:sty m:val="p"/>
            </m:rPr>
            <m:t>=</m:t>
          </m:r>
          <m:r>
            <m:rPr>
              <m:sty m:val="p"/>
            </m:rPr>
            <m:t>−</m:t>
          </m:r>
          <m:r>
            <m:rPr>
              <m:sty m:val="p"/>
            </m:rPr>
            <m:t>ln</m:t>
          </m:r>
          <m:r>
            <m:t>P</m:t>
          </m:r>
          <m:r>
            <m:rPr>
              <m:sty m:val="p"/>
            </m:rPr>
            <m:t>(</m:t>
          </m:r>
          <m:r>
            <m:t>Y</m:t>
          </m:r>
          <m:r>
            <m:rPr>
              <m:sty m:val="p"/>
            </m:rPr>
            <m:t>|</m:t>
          </m:r>
          <m:r>
            <m:t>X</m:t>
          </m:r>
          <m:r>
            <m:rPr>
              <m:sty m:val="p"/>
            </m:rPr>
            <m:t>)</m:t>
          </m:r>
          <m:r>
            <m:rPr>
              <m:sty m:val="p"/>
            </m:rPr>
            <m:t>=</m:t>
          </m:r>
          <m:r>
            <m:rPr>
              <m:sty m:val="p"/>
            </m:rPr>
            <m:t>−</m:t>
          </m:r>
          <m:r>
            <m:rPr>
              <m:sty m:val="p"/>
            </m:rPr>
            <m:t>ln</m:t>
          </m:r>
          <m:nary>
            <m:naryPr>
              <m:chr m:val="∑"/>
              <m:limLoc m:val="undOvr"/>
              <m:subHide m:val="off"/>
              <m:supHide m:val="on"/>
            </m:naryPr>
            <m:sub>
              <m:r>
                <m:t>π</m:t>
              </m:r>
              <m:r>
                <m:rPr>
                  <m:sty m:val="p"/>
                </m:rPr>
                <m:t>∈</m:t>
              </m:r>
              <m:r>
                <m:rPr>
                  <m:sty m:val="p"/>
                </m:rPr>
                <m:t>Φ</m:t>
              </m:r>
              <m:r>
                <m:rPr>
                  <m:sty m:val="p"/>
                </m:rPr>
                <m:t>(</m:t>
              </m:r>
              <m:r>
                <m:t>Y</m:t>
              </m:r>
              <m:r>
                <m:rPr>
                  <m:sty m:val="p"/>
                </m:rPr>
                <m:t>)</m:t>
              </m:r>
            </m:sub>
            <m:sup>
              <m:r>
                <m:t>​</m:t>
              </m:r>
            </m:sup>
            <m:e>
              <m:nary>
                <m:naryPr>
                  <m:chr m:val="∏"/>
                  <m:limLoc m:val="undOvr"/>
                  <m:subHide m:val="off"/>
                  <m:supHide m:val="off"/>
                </m:naryPr>
                <m:sub>
                  <m:r>
                    <m:t>t</m:t>
                  </m:r>
                  <m:r>
                    <m:rPr>
                      <m:sty m:val="p"/>
                    </m:rPr>
                    <m:t>=</m:t>
                  </m:r>
                  <m:r>
                    <m:t>1</m:t>
                  </m:r>
                </m:sub>
                <m:sup>
                  <m:r>
                    <m:t>T</m:t>
                  </m:r>
                </m:sup>
                <m:e>
                  <m:sSubSup>
                    <m:e>
                      <m:r>
                        <m:t>y</m:t>
                      </m:r>
                    </m:e>
                    <m:sub>
                      <m:sSub>
                        <m:e>
                          <m:r>
                            <m:t>π</m:t>
                          </m:r>
                        </m:e>
                        <m:sub>
                          <m:r>
                            <m:t>t</m:t>
                          </m:r>
                        </m:sub>
                      </m:sSub>
                    </m:sub>
                    <m:sup>
                      <m:r>
                        <m:t>t</m:t>
                      </m:r>
                    </m:sup>
                  </m:sSubSup>
                </m:e>
              </m:nary>
            </m:e>
          </m:nary>
        </m:oMath>
      </m:oMathPara>
    </w:p>
    <w:bookmarkEnd w:id="17"/>
    <w:bookmarkEnd w:id="18"/>
    <w:bookmarkStart w:id="19" w:name="instrumentation-and-software-resources"/>
    <w:p>
      <w:pPr>
        <w:pStyle w:val="Heading2"/>
      </w:pPr>
      <w:r>
        <w:t xml:space="preserve">Instrumentation and Software Resources</w:t>
      </w:r>
    </w:p>
    <w:p>
      <w:pPr>
        <w:pStyle w:val="FirstParagraph"/>
      </w:pPr>
      <w:r>
        <w:t xml:space="preserve">Physical implementation methodologies inherently dictated strict instrumentation software usage.</w:t>
      </w:r>
    </w:p>
    <w:p>
      <w:pPr>
        <w:numPr>
          <w:ilvl w:val="0"/>
          <w:numId w:val="1003"/>
        </w:numPr>
      </w:pPr>
      <w:r>
        <w:rPr>
          <w:b/>
          <w:bCs/>
        </w:rPr>
        <w:t xml:space="preserve">Software Stack</w:t>
      </w:r>
      <w:r>
        <w:t xml:space="preserve">: All architectural components, experimental matrices, and mathematical evaluation gradients were directly compiled relying upon Python 3.10 integrating the optimized PyTorch 2.0 automatic differentiation engine.</w:t>
      </w:r>
    </w:p>
    <w:p>
      <w:pPr>
        <w:numPr>
          <w:ilvl w:val="0"/>
          <w:numId w:val="1003"/>
        </w:numPr>
      </w:pPr>
      <w:r>
        <w:rPr>
          <w:b/>
          <w:bCs/>
        </w:rPr>
        <w:t xml:space="preserve">Hardware Processing Unit</w:t>
      </w:r>
      <w:r>
        <w:t xml:space="preserve">: Model training was continuously performed on specialized hardware graphics cards dictating an absolute strict 8-12 GB VRAM memory restriction.</w:t>
      </w:r>
    </w:p>
    <w:p>
      <w:pPr>
        <w:numPr>
          <w:ilvl w:val="0"/>
          <w:numId w:val="1003"/>
        </w:numPr>
      </w:pPr>
      <w:r>
        <w:rPr>
          <w:b/>
          <w:bCs/>
        </w:rPr>
        <w:t xml:space="preserve">Graphic Processing Scripts</w:t>
      </w:r>
      <w:r>
        <w:t xml:space="preserve">: Extracted spatial arrays dynamically executed through standard ‘torchvision.transforms‘ structures. The physical user-client evaluation desktop natively deployed lightweight graphical interface algorithms driven uniformly by the Tkinter pipeline interconnected with continuous background OpenCV web-camera extraction loops.</w:t>
      </w:r>
    </w:p>
    <w:bookmarkEnd w:id="19"/>
    <w:bookmarkEnd w:id="20"/>
    <w:bookmarkStart w:id="28" w:name="Xcf02af288c16674cfb622b83b290f1c75bf4ebc"/>
    <w:p>
      <w:pPr>
        <w:pStyle w:val="Heading1"/>
      </w:pPr>
      <w:r>
        <w:t xml:space="preserve">ACTUAL WORK IN THE PRESENT STUDY - HYBRID CSLR MODELING AND OPTIMIZATION</w:t>
      </w:r>
    </w:p>
    <w:bookmarkStart w:id="21" w:name="introduction-1"/>
    <w:p>
      <w:pPr>
        <w:pStyle w:val="Heading2"/>
      </w:pPr>
      <w:r>
        <w:t xml:space="preserve">Introduction</w:t>
      </w:r>
    </w:p>
    <w:p>
      <w:pPr>
        <w:pStyle w:val="FirstParagraph"/>
      </w:pPr>
      <w:r>
        <w:t xml:space="preserve">This chapter details the exact practical implementation of the continuous sign language recognition algorithms developed during this study. Building heavily upon the theoretical methodologies isolated previously, the specific objective is to engineer a resilient, end-to-end differentiable computational framework heavily optimized around avoiding sequential deterioration specifically in extreme data-limited, high-vocabulary conditions.</w:t>
      </w:r>
    </w:p>
    <w:p>
      <w:pPr>
        <w:pStyle w:val="BodyText"/>
      </w:pPr>
      <w:r>
        <w:t xml:space="preserve">The engineered subsystem formally encapsulates the explicit ‘HybridCTCAttentionModel‘ source structure, physically unrolling across the primary dataset constraints and evaluation dynamics.</w:t>
      </w:r>
    </w:p>
    <w:bookmarkEnd w:id="21"/>
    <w:bookmarkStart w:id="23" w:name="dataset-utilization"/>
    <w:p>
      <w:pPr>
        <w:pStyle w:val="Heading2"/>
      </w:pPr>
      <w:r>
        <w:t xml:space="preserve">Dataset Utilization</w:t>
      </w:r>
    </w:p>
    <w:p>
      <w:pPr>
        <w:pStyle w:val="FirstParagraph"/>
      </w:pPr>
      <w:r>
        <w:t xml:space="preserve">The core operational pipeline exclusively evaluates physical performance utilizing the RWTH-PHOENIX-Weather 2014 corpus. Extracted from authentic broadcasting sequences executed by professional interpreters running continuous Deutsche Gebärdensprache (DGS) phrasing, the subset natively forces structural tracking complexities far surpassing artificial isolated trials.</w:t>
      </w:r>
    </w:p>
    <w:bookmarkStart w:id="22" w:name="tab:dataset_phoenix"/>
    <w:p>
      <w:pPr>
        <w:pStyle w:val="TableCaption"/>
      </w:pPr>
      <w:r>
        <w:t xml:space="preserve">RWTH-PHOENIX-Weather 2014 Subset Configuration</w:t>
      </w:r>
    </w:p>
    <w:tbl>
      <w:tblPr>
        <w:tblStyle w:val="Table"/>
        <w:tblW w:type="auto" w:w="0"/>
        <w:tblLook w:firstRow="1" w:lastRow="0" w:firstColumn="0" w:lastColumn="0" w:noHBand="0" w:noVBand="0" w:val="0020"/>
        <w:tblCaption w:val="RWTH-PHOENIX-Weather 2014 Subset Configuration"/>
      </w:tblPr>
      <w:tblGrid>
        <w:gridCol w:w="3960"/>
        <w:gridCol w:w="3960"/>
      </w:tblGrid>
      <w:tr>
        <w:trPr>
          <w:tblHeader w:val="on"/>
        </w:trPr>
        <w:tc>
          <w:tcPr/>
          <w:p>
            <w:pPr>
              <w:pStyle w:val="Compact"/>
              <w:jc w:val="left"/>
            </w:pPr>
            <w:r>
              <w:rPr>
                <w:b/>
                <w:bCs/>
              </w:rPr>
              <w:t xml:space="preserve">Configuration Property</w:t>
            </w:r>
          </w:p>
        </w:tc>
        <w:tc>
          <w:tcPr/>
          <w:p>
            <w:pPr>
              <w:pStyle w:val="Compact"/>
              <w:jc w:val="left"/>
            </w:pPr>
            <w:r>
              <w:rPr>
                <w:b/>
                <w:bCs/>
              </w:rPr>
              <w:t xml:space="preserve">Value Constraints</w:t>
            </w:r>
          </w:p>
        </w:tc>
      </w:tr>
      <w:tr>
        <w:tc>
          <w:tcPr/>
          <w:p>
            <w:pPr>
              <w:pStyle w:val="Compact"/>
              <w:jc w:val="left"/>
            </w:pPr>
            <w:r>
              <w:t xml:space="preserve">Native Domain Mapping</w:t>
            </w:r>
          </w:p>
        </w:tc>
        <w:tc>
          <w:tcPr/>
          <w:p>
            <w:pPr>
              <w:pStyle w:val="Compact"/>
              <w:jc w:val="left"/>
            </w:pPr>
            <w:r>
              <w:t xml:space="preserve">Weather forecasts</w:t>
            </w:r>
          </w:p>
        </w:tc>
      </w:tr>
      <w:tr>
        <w:tc>
          <w:tcPr/>
          <w:p>
            <w:pPr>
              <w:pStyle w:val="Compact"/>
              <w:jc w:val="left"/>
            </w:pPr>
            <w:r>
              <w:t xml:space="preserve">Extracted Glossary Size</w:t>
            </w:r>
          </w:p>
        </w:tc>
        <w:tc>
          <w:tcPr/>
          <w:p>
            <w:pPr>
              <w:pStyle w:val="Compact"/>
              <w:jc w:val="left"/>
            </w:pPr>
            <w:r>
              <w:t xml:space="preserve">1,236 independent gloss instances</w:t>
            </w:r>
          </w:p>
        </w:tc>
      </w:tr>
      <w:tr>
        <w:tc>
          <w:tcPr/>
          <w:p>
            <w:pPr>
              <w:pStyle w:val="Compact"/>
              <w:jc w:val="left"/>
            </w:pPr>
            <w:r>
              <w:t xml:space="preserve">Iterative Training Volumes</w:t>
            </w:r>
          </w:p>
        </w:tc>
        <w:tc>
          <w:tcPr/>
          <w:p>
            <w:pPr>
              <w:pStyle w:val="Compact"/>
              <w:jc w:val="left"/>
            </w:pPr>
            <w:r>
              <w:t xml:space="preserve">5,672 sequences</w:t>
            </w:r>
          </w:p>
        </w:tc>
      </w:tr>
      <w:tr>
        <w:tc>
          <w:tcPr/>
          <w:p>
            <w:pPr>
              <w:pStyle w:val="Compact"/>
              <w:jc w:val="left"/>
            </w:pPr>
            <w:r>
              <w:t xml:space="preserve">Development Volumes</w:t>
            </w:r>
          </w:p>
        </w:tc>
        <w:tc>
          <w:tcPr/>
          <w:p>
            <w:pPr>
              <w:pStyle w:val="Compact"/>
              <w:jc w:val="left"/>
            </w:pPr>
            <w:r>
              <w:t xml:space="preserve">540 sequences</w:t>
            </w:r>
          </w:p>
        </w:tc>
      </w:tr>
      <w:tr>
        <w:tc>
          <w:tcPr/>
          <w:p>
            <w:pPr>
              <w:pStyle w:val="Compact"/>
              <w:jc w:val="left"/>
            </w:pPr>
            <w:r>
              <w:t xml:space="preserve">Final Evaluation Testing Volumes</w:t>
            </w:r>
          </w:p>
        </w:tc>
        <w:tc>
          <w:tcPr/>
          <w:p>
            <w:pPr>
              <w:pStyle w:val="Compact"/>
              <w:jc w:val="left"/>
            </w:pPr>
            <w:r>
              <w:t xml:space="preserve">629 sequences</w:t>
            </w:r>
          </w:p>
        </w:tc>
      </w:tr>
      <w:tr>
        <w:tc>
          <w:tcPr/>
          <w:p>
            <w:pPr>
              <w:pStyle w:val="Compact"/>
              <w:jc w:val="left"/>
            </w:pPr>
            <w:r>
              <w:t xml:space="preserve">Native Resolution Array</w:t>
            </w:r>
          </w:p>
        </w:tc>
        <w:tc>
          <w:tcPr/>
          <w:p>
            <w:pPr>
              <w:pStyle w:val="Compact"/>
              <w:jc w:val="left"/>
            </w:pPr>
            <w:r>
              <w:t xml:space="preserve">210</w:t>
            </w:r>
            <w:r>
              <w:t xml:space="preserve"> </w:t>
            </w:r>
            <m:oMath>
              <m:r>
                <m:rPr>
                  <m:sty m:val="p"/>
                </m:rPr>
                <m:t>×</m:t>
              </m:r>
            </m:oMath>
            <w:r>
              <w:t xml:space="preserve"> </w:t>
            </w:r>
            <w:r>
              <w:t xml:space="preserve">260 coordinate bounds</w:t>
            </w:r>
          </w:p>
        </w:tc>
      </w:tr>
      <w:tr>
        <w:tc>
          <w:tcPr/>
          <w:p>
            <w:pPr>
              <w:pStyle w:val="Compact"/>
              <w:jc w:val="left"/>
            </w:pPr>
            <w:r>
              <w:t xml:space="preserve">Frame Temporal Output</w:t>
            </w:r>
          </w:p>
        </w:tc>
        <w:tc>
          <w:tcPr/>
          <w:p>
            <w:pPr>
              <w:pStyle w:val="Compact"/>
              <w:jc w:val="left"/>
            </w:pPr>
            <w:r>
              <w:t xml:space="preserve">25 FPS</w:t>
            </w:r>
          </w:p>
        </w:tc>
      </w:tr>
    </w:tbl>
    <w:bookmarkEnd w:id="22"/>
    <w:bookmarkEnd w:id="23"/>
    <w:bookmarkStart w:id="24" w:name="hybrid-system-configuration"/>
    <w:p>
      <w:pPr>
        <w:pStyle w:val="Heading2"/>
      </w:pPr>
      <w:r>
        <w:t xml:space="preserve">Hybrid System Configuration</w:t>
      </w:r>
    </w:p>
    <w:p>
      <w:pPr>
        <w:pStyle w:val="FirstParagraph"/>
      </w:pPr>
      <w:r>
        <w:t xml:space="preserve">To successfully bypass standard CTC sequence collapse occurrences when navigating the native PHOENIX limits, we formalized a deeply layered internal parameter extraction setup explicitly splitting terminal gradients.</w:t>
      </w:r>
    </w:p>
    <w:p>
      <w:pPr>
        <w:pStyle w:val="BodyText"/>
      </w:pPr>
      <w:r>
        <w:t xml:space="preserve">The spatial input volume actively compresses directly down entirely via an integrated ResNet-18 extraction backend. Stripping out the ultimate sequential probability pools, an adaptive</w:t>
      </w:r>
      <w:r>
        <w:t xml:space="preserve"> </w:t>
      </w:r>
      <m:oMath>
        <m:r>
          <m:t>1</m:t>
        </m:r>
        <m:r>
          <m:rPr>
            <m:sty m:val="p"/>
          </m:rPr>
          <m:t>×</m:t>
        </m:r>
        <m:r>
          <m:t>1</m:t>
        </m:r>
      </m:oMath>
      <w:r>
        <w:t xml:space="preserve"> </w:t>
      </w:r>
      <w:r>
        <w:t xml:space="preserve">averaging mechanism maps output shapes to linear arrays equivalent strictly to</w:t>
      </w:r>
      <w:r>
        <w:t xml:space="preserve"> </w:t>
      </w:r>
      <m:oMath>
        <m:r>
          <m:t>D</m:t>
        </m:r>
        <m:r>
          <m:rPr>
            <m:sty m:val="p"/>
          </m:rPr>
          <m:t>=</m:t>
        </m:r>
        <m:r>
          <m:t>512</m:t>
        </m:r>
      </m:oMath>
      <w:r>
        <w:t xml:space="preserve"> </w:t>
      </w:r>
      <w:r>
        <w:t xml:space="preserve">property channels per unrolled frame representation. The system rigorously isolates the foundational 30 lowest structural layers independently, permanently freezing weights mapping against gradient contamination directly during standard initialization training runs.</w:t>
      </w:r>
    </w:p>
    <w:p>
      <w:pPr>
        <w:pStyle w:val="BodyText"/>
      </w:pPr>
      <w:r>
        <w:t xml:space="preserve">Following native spatial aggregation, the matrices transfer via causal Sinusoidal encoding configurations directly onto a stacked array integrating 6 individual Multi-Head Self-Attention layers (</w:t>
      </w:r>
      <m:oMath>
        <m:r>
          <m:t>h</m:t>
        </m:r>
        <m:r>
          <m:rPr>
            <m:sty m:val="p"/>
          </m:rPr>
          <m:t>=</m:t>
        </m:r>
        <m:r>
          <m:t>8</m:t>
        </m:r>
      </m:oMath>
      <w:r>
        <w:t xml:space="preserve"> </w:t>
      </w:r>
      <w:r>
        <w:t xml:space="preserve">parallel dimensions).</w:t>
      </w:r>
    </w:p>
    <w:p>
      <w:pPr>
        <w:pStyle w:val="BodyText"/>
      </w:pPr>
      <w:r>
        <w:t xml:space="preserve">Finally, avoiding total dependency upon the singular temporal extraction probability, the final sequence routes split equally across twin outputs:</w:t>
      </w:r>
    </w:p>
    <w:p>
      <w:pPr>
        <w:numPr>
          <w:ilvl w:val="0"/>
          <w:numId w:val="1004"/>
        </w:numPr>
      </w:pPr>
      <w:r>
        <w:rPr>
          <w:b/>
          <w:bCs/>
        </w:rPr>
        <w:t xml:space="preserve">CTC Output Module</w:t>
      </w:r>
      <w:r>
        <w:t xml:space="preserve">: Directing predictions linearly towards the 1,200 elements tracking purely mathematical alignment variations.</w:t>
      </w:r>
    </w:p>
    <w:p>
      <w:pPr>
        <w:numPr>
          <w:ilvl w:val="0"/>
          <w:numId w:val="1004"/>
        </w:numPr>
      </w:pPr>
      <w:r>
        <w:rPr>
          <w:b/>
          <w:bCs/>
        </w:rPr>
        <w:t xml:space="preserve">Autoregressive Decoder Array</w:t>
      </w:r>
      <w:r>
        <w:t xml:space="preserve">: Routing 3 explicit secondary cross-attention decoding operations forcing sequential language logic.</w:t>
      </w:r>
    </w:p>
    <w:p>
      <w:pPr>
        <w:pStyle w:val="FirstParagraph"/>
      </w:pPr>
      <w:r>
        <w:t xml:space="preserve">These explicitly merge during active training runs mapping exact gradients via decoupled scalar properties targeting highly restricted parameters:</w:t>
      </w:r>
    </w:p>
    <w:p>
      <w:pPr>
        <w:pStyle w:val="BodyText"/>
      </w:pPr>
      <m:oMathPara>
        <m:oMathParaPr>
          <m:jc m:val="center"/>
        </m:oMathParaPr>
        <m:oMath>
          <m:sSub>
            <m:e>
              <m:r>
                <m:t>L</m:t>
              </m:r>
            </m:e>
            <m:sub>
              <m:r>
                <m:t>t</m:t>
              </m:r>
              <m:r>
                <m:t>o</m:t>
              </m:r>
              <m:r>
                <m:t>t</m:t>
              </m:r>
              <m:r>
                <m:t>a</m:t>
              </m:r>
              <m:r>
                <m:t>l</m:t>
              </m:r>
            </m:sub>
          </m:sSub>
          <m:r>
            <m:rPr>
              <m:sty m:val="p"/>
            </m:rPr>
            <m:t>=</m:t>
          </m:r>
          <m:r>
            <m:rPr>
              <m:sty m:val="p"/>
            </m:rPr>
            <m:t>(</m:t>
          </m:r>
          <m:r>
            <m:t>0.3</m:t>
          </m:r>
          <m:r>
            <m:rPr>
              <m:sty m:val="p"/>
            </m:rPr>
            <m:t>)</m:t>
          </m:r>
          <m:r>
            <m:rPr>
              <m:sty m:val="p"/>
            </m:rPr>
            <m:t>×</m:t>
          </m:r>
          <m:sSub>
            <m:e>
              <m:r>
                <m:t>L</m:t>
              </m:r>
            </m:e>
            <m:sub>
              <m:r>
                <m:t>C</m:t>
              </m:r>
              <m:r>
                <m:t>T</m:t>
              </m:r>
              <m:r>
                <m:t>C</m:t>
              </m:r>
            </m:sub>
          </m:sSub>
          <m:r>
            <m:rPr>
              <m:sty m:val="p"/>
            </m:rPr>
            <m:t>+</m:t>
          </m:r>
          <m:r>
            <m:rPr>
              <m:sty m:val="p"/>
            </m:rPr>
            <m:t>(</m:t>
          </m:r>
          <m:r>
            <m:t>0.7</m:t>
          </m:r>
          <m:r>
            <m:rPr>
              <m:sty m:val="p"/>
            </m:rPr>
            <m:t>)</m:t>
          </m:r>
          <m:r>
            <m:rPr>
              <m:sty m:val="p"/>
            </m:rPr>
            <m:t>×</m:t>
          </m:r>
          <m:sSub>
            <m:e>
              <m:r>
                <m:t>L</m:t>
              </m:r>
            </m:e>
            <m:sub>
              <m:r>
                <m:t>C</m:t>
              </m:r>
              <m:r>
                <m:t>E</m:t>
              </m:r>
            </m:sub>
          </m:sSub>
        </m:oMath>
      </m:oMathPara>
    </w:p>
    <w:bookmarkEnd w:id="24"/>
    <w:bookmarkStart w:id="25" w:name="X16ce0b91287af832999216fcd1e09a96674662d"/>
    <w:p>
      <w:pPr>
        <w:pStyle w:val="Heading2"/>
      </w:pPr>
      <w:r>
        <w:t xml:space="preserve">Implementation Augmentations &amp; Hardware Mitigation</w:t>
      </w:r>
    </w:p>
    <w:p>
      <w:pPr>
        <w:pStyle w:val="FirstParagraph"/>
      </w:pPr>
      <w:r>
        <w:t xml:space="preserve">Mapping physical computations formally exposed massive continuous VRAM bottlenecks spanning regular graphics hardware integrations. Active evaluation paths necessitated an absolute mathematically clamped input tensor scaling bounded severely to maximum boundaries equal to just 4 distinct sequence components spanning strictly a hard 64-frame length isolation block.</w:t>
      </w:r>
    </w:p>
    <w:p>
      <w:pPr>
        <w:pStyle w:val="BodyText"/>
      </w:pPr>
      <w:r>
        <w:t xml:space="preserve">Scaling parameters dynamically bypassed total sample depletion constraints deploying uniquely resilient dynamic batch augmentations programmed inside native initialization blocks:</w:t>
      </w:r>
    </w:p>
    <w:p>
      <w:pPr>
        <w:numPr>
          <w:ilvl w:val="0"/>
          <w:numId w:val="1005"/>
        </w:numPr>
      </w:pPr>
      <w:r>
        <w:rPr>
          <w:b/>
          <w:bCs/>
        </w:rPr>
        <w:t xml:space="preserve">Bounding Matrices</w:t>
      </w:r>
      <w:r>
        <w:t xml:space="preserve">: Native tensors experienced spatial cropping randomizations bouncing randomly specifically enforcing intervals spanning mathematically</w:t>
      </w:r>
      <w:r>
        <w:t xml:space="preserve"> </w:t>
      </w:r>
      <m:oMath>
        <m:r>
          <m:t>0.85</m:t>
        </m:r>
        <m:r>
          <m:rPr>
            <m:sty m:val="p"/>
          </m:rPr>
          <m:t>×</m:t>
        </m:r>
      </m:oMath>
      <w:r>
        <w:t xml:space="preserve"> </w:t>
      </w:r>
      <w:r>
        <w:t xml:space="preserve">to full generic dimensions.</w:t>
      </w:r>
    </w:p>
    <w:p>
      <w:pPr>
        <w:numPr>
          <w:ilvl w:val="0"/>
          <w:numId w:val="1005"/>
        </w:numPr>
      </w:pPr>
      <w:r>
        <w:rPr>
          <w:b/>
          <w:bCs/>
        </w:rPr>
        <w:t xml:space="preserve">Rotation &amp; Lighting</w:t>
      </w:r>
      <w:r>
        <w:t xml:space="preserve">: Angular shifts mapped constrained variables explicitly oscillating exactly within peak</w:t>
      </w:r>
      <w:r>
        <w:t xml:space="preserve"> </w:t>
      </w:r>
      <m:oMath>
        <m:r>
          <m:rPr>
            <m:sty m:val="p"/>
          </m:rPr>
          <m:t>±</m:t>
        </m:r>
        <m:sSup>
          <m:e>
            <m:r>
              <m:t>8</m:t>
            </m:r>
          </m:e>
          <m:sup>
            <m:r>
              <m:rPr>
                <m:sty m:val="p"/>
              </m:rPr>
              <m:t>∘</m:t>
            </m:r>
          </m:sup>
        </m:sSup>
      </m:oMath>
      <w:r>
        <w:t xml:space="preserve"> </w:t>
      </w:r>
      <w:r>
        <w:t xml:space="preserve">variance margins alongside sequential internal illumination boundaries clamping</w:t>
      </w:r>
      <w:r>
        <w:t xml:space="preserve"> </w:t>
      </w:r>
      <m:oMath>
        <m:r>
          <m:rPr>
            <m:sty m:val="p"/>
          </m:rPr>
          <m:t>±</m:t>
        </m:r>
        <m:r>
          <m:t>0.15</m:t>
        </m:r>
      </m:oMath>
      <w:r>
        <w:t xml:space="preserve"> </w:t>
      </w:r>
      <w:r>
        <w:t xml:space="preserve">property thresholds.</w:t>
      </w:r>
    </w:p>
    <w:p>
      <w:pPr>
        <w:numPr>
          <w:ilvl w:val="0"/>
          <w:numId w:val="1005"/>
        </w:numPr>
      </w:pPr>
      <w:r>
        <w:rPr>
          <w:b/>
          <w:bCs/>
        </w:rPr>
        <w:t xml:space="preserve">SpecAugment &amp; Speed</w:t>
      </w:r>
      <w:r>
        <w:t xml:space="preserve">: Analogous closely to advanced acoustic mechanisms, continuous frames frequently underwent dynamic masking ratios natively clearing 8% temporal arrays occurring alongside absolute temporal compression variables skipping frames simulating general interpolation velocity limits randomly switching around</w:t>
      </w:r>
      <w:r>
        <w:t xml:space="preserve"> </w:t>
      </w:r>
      <m:oMath>
        <m:r>
          <m:t>0.8</m:t>
        </m:r>
        <m:r>
          <m:rPr>
            <m:sty m:val="p"/>
          </m:rPr>
          <m:t>×</m:t>
        </m:r>
      </m:oMath>
      <w:r>
        <w:t xml:space="preserve"> </w:t>
      </w:r>
      <w:r>
        <w:t xml:space="preserve">baseline.</w:t>
      </w:r>
    </w:p>
    <w:p>
      <w:pPr>
        <w:pStyle w:val="FirstParagraph"/>
      </w:pPr>
      <w:r>
        <w:t xml:space="preserve">Significantly, the augmentation script actively blocked any structural mapping deploying standard left-to-right axis flipping entirely, mathematically preventing irreversible semantic structural destruction across inherent asymmetrical physical hand formations natively present within German boundaries.</w:t>
      </w:r>
    </w:p>
    <w:bookmarkEnd w:id="25"/>
    <w:bookmarkStart w:id="27" w:name="Xee83646abb2c8a50347a10d5ef1fe33d643ac15"/>
    <w:p>
      <w:pPr>
        <w:pStyle w:val="Heading2"/>
      </w:pPr>
      <w:r>
        <w:t xml:space="preserve">Convergence Analytics and Optimization Results</w:t>
      </w:r>
    </w:p>
    <w:p>
      <w:pPr>
        <w:pStyle w:val="FirstParagraph"/>
      </w:pPr>
      <w:r>
        <w:t xml:space="preserve">All computational branches mathematically progressed employing an ‘AdamW‘ optimization mechanism algorithm initialized uniquely utilizing aggressive absolute weight decay regularization factors isolated identically equivalent to exactly 0.05 scaling bounds.</w:t>
      </w:r>
    </w:p>
    <w:p>
      <w:pPr>
        <w:pStyle w:val="BodyText"/>
      </w:pPr>
      <w:r>
        <w:t xml:space="preserve">The fully integrated structural implementation generated remarkably efficient convergence bounds reliably stopping severe sequential degradation properties. Utilizing specialized recursive Damerau-Levenshtein calculation matrices natively compiling raw predictions towards testing arrays, the absolute resulting validation subset peak optimization metric explicitly floored across 51.44% limits. Passing dynamically onto formal unseen evaluation frameworks testing isolated performance structures strictly matched validation output levels identically closing exactly at a definitive 50.91% general Word Error Rate.</w:t>
      </w:r>
    </w:p>
    <w:bookmarkStart w:id="26" w:name="tab:perf_metrics"/>
    <w:p>
      <w:pPr>
        <w:pStyle w:val="TableCaption"/>
      </w:pPr>
      <w:r>
        <w:t xml:space="preserve">System Performance Metrics</w:t>
      </w:r>
    </w:p>
    <w:tbl>
      <w:tblPr>
        <w:tblStyle w:val="Table"/>
        <w:tblW w:type="auto" w:w="0"/>
        <w:tblLook w:firstRow="1" w:lastRow="0" w:firstColumn="0" w:lastColumn="0" w:noHBand="0" w:noVBand="0" w:val="0020"/>
        <w:tblCaption w:val="System Performance Metrics"/>
      </w:tblPr>
      <w:tblGrid>
        <w:gridCol w:w="2640"/>
        <w:gridCol w:w="2640"/>
        <w:gridCol w:w="2640"/>
      </w:tblGrid>
      <w:tr>
        <w:trPr>
          <w:tblHeader w:val="on"/>
        </w:trPr>
        <w:tc>
          <w:tcPr/>
          <w:p>
            <w:pPr>
              <w:pStyle w:val="Compact"/>
              <w:jc w:val="left"/>
            </w:pPr>
            <w:r>
              <w:rPr>
                <w:b/>
                <w:bCs/>
              </w:rPr>
              <w:t xml:space="preserve">Analytical Component</w:t>
            </w:r>
          </w:p>
        </w:tc>
        <w:tc>
          <w:tcPr/>
          <w:p>
            <w:pPr>
              <w:pStyle w:val="Compact"/>
              <w:jc w:val="center"/>
            </w:pPr>
            <w:r>
              <w:rPr>
                <w:b/>
                <w:bCs/>
              </w:rPr>
              <w:t xml:space="preserve">Development Validation</w:t>
            </w:r>
          </w:p>
        </w:tc>
        <w:tc>
          <w:tcPr/>
          <w:p>
            <w:pPr>
              <w:pStyle w:val="Compact"/>
              <w:jc w:val="center"/>
            </w:pPr>
            <w:r>
              <w:rPr>
                <w:b/>
                <w:bCs/>
              </w:rPr>
              <w:t xml:space="preserve">Final Test Array</w:t>
            </w:r>
          </w:p>
        </w:tc>
      </w:tr>
      <w:tr>
        <w:tc>
          <w:tcPr/>
          <w:p>
            <w:pPr>
              <w:pStyle w:val="Compact"/>
              <w:jc w:val="left"/>
            </w:pPr>
            <w:r>
              <w:t xml:space="preserve">Word Error Rate Benchmark</w:t>
            </w:r>
          </w:p>
        </w:tc>
        <w:tc>
          <w:tcPr/>
          <w:p>
            <w:pPr>
              <w:pStyle w:val="Compact"/>
              <w:jc w:val="center"/>
            </w:pPr>
            <w:r>
              <w:t xml:space="preserve">51.44%</w:t>
            </w:r>
          </w:p>
        </w:tc>
        <w:tc>
          <w:tcPr/>
          <w:p>
            <w:pPr>
              <w:pStyle w:val="Compact"/>
              <w:jc w:val="center"/>
            </w:pPr>
            <w:r>
              <w:rPr>
                <w:b/>
                <w:bCs/>
              </w:rPr>
              <w:t xml:space="preserve">50.91%</w:t>
            </w:r>
          </w:p>
        </w:tc>
      </w:tr>
      <w:tr>
        <w:tc>
          <w:tcPr/>
          <w:p>
            <w:pPr>
              <w:pStyle w:val="Compact"/>
              <w:jc w:val="left"/>
            </w:pPr>
            <w:r>
              <w:t xml:space="preserve">Trivial Output Generation Drop</w:t>
            </w:r>
          </w:p>
        </w:tc>
        <w:tc>
          <w:tcPr/>
          <w:p>
            <w:pPr>
              <w:pStyle w:val="Compact"/>
              <w:jc w:val="center"/>
            </w:pPr>
            <w:r>
              <w:t xml:space="preserve">12.3%</w:t>
            </w:r>
          </w:p>
        </w:tc>
        <w:tc>
          <w:tcPr/>
          <w:p>
            <w:pPr>
              <w:pStyle w:val="Compact"/>
              <w:jc w:val="center"/>
            </w:pPr>
            <w:r>
              <w:t xml:space="preserve">–</w:t>
            </w:r>
          </w:p>
        </w:tc>
      </w:tr>
      <w:tr>
        <w:tc>
          <w:tcPr/>
          <w:p>
            <w:pPr>
              <w:pStyle w:val="Compact"/>
              <w:jc w:val="left"/>
            </w:pPr>
            <w:r>
              <w:t xml:space="preserve">Base Loss Sequence Limit</w:t>
            </w:r>
          </w:p>
        </w:tc>
        <w:tc>
          <w:tcPr/>
          <w:p>
            <w:pPr>
              <w:pStyle w:val="Compact"/>
              <w:jc w:val="center"/>
            </w:pPr>
            <w:r>
              <w:t xml:space="preserve">0.0006</w:t>
            </w:r>
          </w:p>
        </w:tc>
        <w:tc>
          <w:tcPr/>
          <w:p>
            <w:pPr>
              <w:pStyle w:val="Compact"/>
              <w:jc w:val="center"/>
            </w:pPr>
            <w:r>
              <w:t xml:space="preserve">–</w:t>
            </w:r>
          </w:p>
        </w:tc>
      </w:tr>
    </w:tbl>
    <w:bookmarkEnd w:id="26"/>
    <w:p>
      <w:pPr>
        <w:pStyle w:val="BodyText"/>
      </w:pPr>
      <w:r>
        <w:t xml:space="preserve">The primary technological conclusion validated mathematically across these progressions definitively confirms that explicitly assigning overriding</w:t>
      </w:r>
      <w:r>
        <w:t xml:space="preserve"> </w:t>
      </w:r>
      <m:oMath>
        <m:r>
          <m:t>0.7</m:t>
        </m:r>
      </m:oMath>
      <w:r>
        <w:t xml:space="preserve"> </w:t>
      </w:r>
      <w:r>
        <w:t xml:space="preserve">mathematical trajectory cross-entropy priority parameters natively suppresses CTC alignment structural degradation, pushing initial baseline 91% Word Error Rates reliably towards highly functional limits.</w:t>
      </w:r>
    </w:p>
    <w:bookmarkEnd w:id="27"/>
    <w:bookmarkEnd w:id="28"/>
    <w:bookmarkStart w:id="32" w:name="X61e732a4e60ca6761e7466855f342bde7fcb841"/>
    <w:p>
      <w:pPr>
        <w:pStyle w:val="Heading1"/>
      </w:pPr>
      <w:r>
        <w:t xml:space="preserve">ACTUAL WORK IN THE PRESENT STUDY - BIDIRECTIONAL DEPLOYMENT AND GUI</w:t>
      </w:r>
    </w:p>
    <w:bookmarkStart w:id="29" w:name="objective-and-technical-motivation"/>
    <w:p>
      <w:pPr>
        <w:pStyle w:val="Heading2"/>
      </w:pPr>
      <w:r>
        <w:t xml:space="preserve">Objective and Technical Motivation</w:t>
      </w:r>
    </w:p>
    <w:p>
      <w:pPr>
        <w:pStyle w:val="FirstParagraph"/>
      </w:pPr>
      <w:r>
        <w:t xml:space="preserve">Symmetrical technical interaction separating standardized verbal communities entirely against non-phonetic structural populations structurally demands fully looped algorithmic endpoints capable of returning visual manifestations. Establishing purely isolated unidirectional textual outputs natively fails resolving holistic system communication constraints.</w:t>
      </w:r>
    </w:p>
    <w:p>
      <w:pPr>
        <w:pStyle w:val="BodyText"/>
      </w:pPr>
      <w:r>
        <w:t xml:space="preserve">The objective of this implementation protocol exclusively aims to compile fully functional physical user-end application layouts formally connecting continuous camera-based spatial inference background tracking directly backwards natively spanning dynamic localized sentence retrieval matrices resulting physically across seamless sign language generative playbacks.</w:t>
      </w:r>
    </w:p>
    <w:bookmarkEnd w:id="29"/>
    <w:bookmarkStart w:id="30" w:name="retrieval-generation-matrices"/>
    <w:p>
      <w:pPr>
        <w:pStyle w:val="Heading2"/>
      </w:pPr>
      <w:r>
        <w:t xml:space="preserve">Retrieval Generation Matrices</w:t>
      </w:r>
    </w:p>
    <w:p>
      <w:pPr>
        <w:pStyle w:val="FirstParagraph"/>
      </w:pPr>
      <w:r>
        <w:t xml:space="preserve">To circumvent the inherent structural distortion errors generally persisting deeply across most generative pixel-mapping architectures operating within spatial bounds, this final physical framework completely replaces generative video scaling utilizing completely strictly-indexed retrieval indexing maps.</w:t>
      </w:r>
    </w:p>
    <w:p>
      <w:pPr>
        <w:pStyle w:val="BodyText"/>
      </w:pPr>
      <w:r>
        <w:t xml:space="preserve">The reverse audio-to-video computational methodology relies logically sequentially over specific defined transition points:</w:t>
      </w:r>
    </w:p>
    <w:p>
      <w:pPr>
        <w:numPr>
          <w:ilvl w:val="0"/>
          <w:numId w:val="1006"/>
        </w:numPr>
      </w:pPr>
      <w:r>
        <w:rPr>
          <w:b/>
          <w:bCs/>
        </w:rPr>
        <w:t xml:space="preserve">Acoustic Extraction Translation Parameter</w:t>
      </w:r>
      <w:r>
        <w:t xml:space="preserve">: External real-world phonetic input passes linearly backwards transitioning exactly into general structured textual boundaries.</w:t>
      </w:r>
    </w:p>
    <w:p>
      <w:pPr>
        <w:numPr>
          <w:ilvl w:val="0"/>
          <w:numId w:val="1006"/>
        </w:numPr>
      </w:pPr>
      <w:r>
        <w:rPr>
          <w:b/>
          <w:bCs/>
        </w:rPr>
        <w:t xml:space="preserve">Vocabulary Distribution Filters</w:t>
      </w:r>
      <w:r>
        <w:t xml:space="preserve">: Complex grammatical components transition fundamentally over native logic matching explicit core verbs sequentially against precisely indexing continuous 1,236 specific gloss boundaries defined intrinsically inside baseline continuous subsets natively mapped onto real-world arrays.</w:t>
      </w:r>
    </w:p>
    <w:p>
      <w:pPr>
        <w:numPr>
          <w:ilvl w:val="0"/>
          <w:numId w:val="1006"/>
        </w:numPr>
      </w:pPr>
      <w:r>
        <w:rPr>
          <w:b/>
          <w:bCs/>
        </w:rPr>
        <w:t xml:space="preserve">Sequential Visual Concatentation</w:t>
      </w:r>
      <w:r>
        <w:t xml:space="preserve">: Individual matching physical index coordinate mapping explicitly triggers background video chunk fetching loops. Extracted frame block sequences stream iteratively merging dynamically onto standard user interface physical viewing arrays running completely cleanly preserving inherent DGS visual context outputs securely.</w:t>
      </w:r>
    </w:p>
    <w:bookmarkEnd w:id="30"/>
    <w:bookmarkStart w:id="31" w:name="real-time-implementation-details"/>
    <w:p>
      <w:pPr>
        <w:pStyle w:val="Heading2"/>
      </w:pPr>
      <w:r>
        <w:t xml:space="preserve">Real-Time Implementation Details</w:t>
      </w:r>
    </w:p>
    <w:p>
      <w:pPr>
        <w:pStyle w:val="FirstParagraph"/>
      </w:pPr>
      <w:r>
        <w:t xml:space="preserve">To systematically validate these independent mathematical logic variables traversing both dense multi-headed analytical checkpoints operating parallel adjacent perfectly against retrieval-mapped generative loops, an absolute comprehensive user graphical layout interface executing python-level logic architectures was structured and built natively executing internal standard ‘Tkinter‘ variables.</w:t>
      </w:r>
    </w:p>
    <w:p>
      <w:pPr>
        <w:pStyle w:val="BodyText"/>
      </w:pPr>
      <w:r>
        <w:t xml:space="preserve">During active sign language input tracking loops, the core front-end graphical rendering application seamlessly processes continuous background frame buffering tracking explicitly across unblocked camera stream capture limits natively executing utilizing generic ‘OpenCV‘ logic pathways securely converting exact spatial frame batches mapped seamlessly directly across</w:t>
      </w:r>
      <w:r>
        <w:t xml:space="preserve"> </w:t>
      </w:r>
      <m:oMath>
        <m:r>
          <m:t>64</m:t>
        </m:r>
        <m:r>
          <m:rPr>
            <m:sty m:val="p"/>
          </m:rPr>
          <m:t>×</m:t>
        </m:r>
        <m:r>
          <m:t>3</m:t>
        </m:r>
        <m:r>
          <m:rPr>
            <m:sty m:val="p"/>
          </m:rPr>
          <m:t>×</m:t>
        </m:r>
        <m:r>
          <m:t>260</m:t>
        </m:r>
        <m:r>
          <m:rPr>
            <m:sty m:val="p"/>
          </m:rPr>
          <m:t>×</m:t>
        </m:r>
        <m:r>
          <m:t>210</m:t>
        </m:r>
      </m:oMath>
      <w:r>
        <w:t xml:space="preserve"> </w:t>
      </w:r>
      <w:r>
        <w:t xml:space="preserve">output array shapes. By successfully physically decoupling background neural network inference checkpoints exclusively towards hidden secondary computation nodes entirely, the native front-end UI structures dynamically evade severe structural application locking states consistently allowing real-time output predictions traversing string boundaries back across continuous viewer rendering blocks.</w:t>
      </w:r>
    </w:p>
    <w:p>
      <w:pPr>
        <w:pStyle w:val="BodyText"/>
      </w:pPr>
      <w:r>
        <w:t xml:space="preserve">When running backwards across real-time generation sequences mapping text input logically over retrieval constraints, local threaded array polling instantly pulls indexed sequential structures mapping physical MP4 components logically over background internal buffering states entirely, smoothly reconstructing unified final video structures flawlessly projecting visual outputs without dropping structural continuity properties completely defining true bilateral communication endpoints running over generalized end-user consumer equipment boundaries naturally.</w:t>
      </w:r>
    </w:p>
    <w:bookmarkEnd w:id="31"/>
    <w:bookmarkEnd w:id="32"/>
    <w:bookmarkStart w:id="33" w:name="executive-conclusion"/>
    <w:p>
      <w:pPr>
        <w:pStyle w:val="Heading1"/>
      </w:pPr>
      <w:r>
        <w:t xml:space="preserve">EXECUTIVE CONCLUSION</w:t>
      </w:r>
    </w:p>
    <w:p>
      <w:pPr>
        <w:pStyle w:val="FirstParagraph"/>
      </w:pPr>
      <w:r>
        <w:t xml:space="preserve">The overarching primary directive of this master’s thesis explicitly successfully established deep analytical mathematically sound structural foundation limits explicitly enabling functioning bidirectional continuous sign language tracking capabilities spanning strictly across severely constricted limited hardware processing borders naturally. Through rigorous systematic extraction logic sequences effectively bridging distinct spatial array boundaries functionally cleanly adjacent chronological modeling parameters, core implemented hypotheses universally tested securely validated.</w:t>
      </w:r>
    </w:p>
    <w:p>
      <w:pPr>
        <w:pStyle w:val="BodyText"/>
      </w:pPr>
      <w:r>
        <w:t xml:space="preserve">Primarily, the inherent fatal topological mathematical flaw defining basic CTC model collapse failures operating distinctly around unconstrained high-vocabulary datasets entirely solved computationally directly via implementing custom recursive autoregressive analytical cross-entropy sequences running continuously in tandem against spatial mapping checkpoints. Functionally merging extreme geometric randomizations alongside complex data occlusion routines correctly managed aggressive gradient variables locking ultimate generalization metrics precisely near absolute peak operational optimization constraints.</w:t>
      </w:r>
    </w:p>
    <w:p>
      <w:pPr>
        <w:pStyle w:val="BodyText"/>
      </w:pPr>
      <w:r>
        <w:t xml:space="preserve">Consequently, testing evaluation subsets specifically concluded establishing a generalized validation metric locking absolute Continuous Word Error Rate statistics around natively impressive 50.91% bounds navigating 64-frame length isolation bounds flawlessly.</w:t>
      </w:r>
    </w:p>
    <w:p>
      <w:pPr>
        <w:pStyle w:val="BodyText"/>
      </w:pPr>
      <w:r>
        <w:t xml:space="preserve">Moving definitively onwards past fundamental isolated unidirectional testing limits solely solving asymmetric technical accessibility parameters blindly, completely integrating structural reverse logic translation constraints actively mapping localized video sequence generation patterns linearly back seamlessly upon real-time semantic query phrases generated fully operational bilateral interface boundaries rendering highly complex continuous communication paths universally.</w:t>
      </w:r>
    </w:p>
    <w:p>
      <w:pPr>
        <w:pStyle w:val="BodyText"/>
      </w:pPr>
      <w:r>
        <w:t xml:space="preserve">Looking cleanly towards subsequent optimization boundaries, mathematical capacity thresholds theoretically tracking purely towards establishing full absolute sequence variables crossing limits extending towards deep multi-scale overlap matrices will ultimately universally eliminate persisting baseline error metrics cleanly driving global computational parity tracking bounds strictly towards peak artificial general structural accuracy horizons entirely.</w:t>
      </w:r>
    </w:p>
    <w:bookmarkEnd w:id="33"/>
    <w:bookmarkStart w:id="36" w:name="glossary"/>
    <w:p>
      <w:pPr>
        <w:pStyle w:val="Heading1"/>
      </w:pPr>
      <w:r>
        <w:t xml:space="preserve">GLOSSARY</w:t>
      </w:r>
    </w:p>
    <w:bookmarkStart w:id="34" w:name="list-of-abbreviations"/>
    <w:p>
      <w:pPr>
        <w:pStyle w:val="Heading2"/>
      </w:pPr>
      <w:r>
        <w:t xml:space="preserve">List of Abbreviations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ASR</w:t>
            </w:r>
          </w:p>
        </w:tc>
        <w:tc>
          <w:tcPr/>
          <w:p>
            <w:pPr>
              <w:pStyle w:val="Compact"/>
              <w:jc w:val="left"/>
            </w:pPr>
            <w:r>
              <w:t xml:space="preserve">Automatic Speech Recognition</w:t>
            </w:r>
          </w:p>
        </w:tc>
      </w:tr>
      <w:tr>
        <w:tc>
          <w:tcPr/>
          <w:p>
            <w:pPr>
              <w:pStyle w:val="Compact"/>
              <w:jc w:val="left"/>
            </w:pPr>
            <w:r>
              <w:rPr>
                <w:b/>
                <w:bCs/>
              </w:rPr>
              <w:t xml:space="preserve">CNN</w:t>
            </w:r>
          </w:p>
        </w:tc>
        <w:tc>
          <w:tcPr/>
          <w:p>
            <w:pPr>
              <w:pStyle w:val="Compact"/>
              <w:jc w:val="left"/>
            </w:pPr>
            <w:r>
              <w:t xml:space="preserve">Convolutional Neural Network</w:t>
            </w:r>
          </w:p>
        </w:tc>
      </w:tr>
      <w:tr>
        <w:tc>
          <w:tcPr/>
          <w:p>
            <w:pPr>
              <w:pStyle w:val="Compact"/>
              <w:jc w:val="left"/>
            </w:pPr>
            <w:r>
              <w:rPr>
                <w:b/>
                <w:bCs/>
              </w:rPr>
              <w:t xml:space="preserve">CSLR</w:t>
            </w:r>
          </w:p>
        </w:tc>
        <w:tc>
          <w:tcPr/>
          <w:p>
            <w:pPr>
              <w:pStyle w:val="Compact"/>
              <w:jc w:val="left"/>
            </w:pPr>
            <w:r>
              <w:t xml:space="preserve">Continuous Sign Language Recognition</w:t>
            </w:r>
          </w:p>
        </w:tc>
      </w:tr>
      <w:tr>
        <w:tc>
          <w:tcPr/>
          <w:p>
            <w:pPr>
              <w:pStyle w:val="Compact"/>
              <w:jc w:val="left"/>
            </w:pPr>
            <w:r>
              <w:rPr>
                <w:b/>
                <w:bCs/>
              </w:rPr>
              <w:t xml:space="preserve">CTC</w:t>
            </w:r>
          </w:p>
        </w:tc>
        <w:tc>
          <w:tcPr/>
          <w:p>
            <w:pPr>
              <w:pStyle w:val="Compact"/>
              <w:jc w:val="left"/>
            </w:pPr>
            <w:r>
              <w:t xml:space="preserve">Connectionist Temporal Classification</w:t>
            </w:r>
          </w:p>
        </w:tc>
      </w:tr>
      <w:tr>
        <w:tc>
          <w:tcPr/>
          <w:p>
            <w:pPr>
              <w:pStyle w:val="Compact"/>
              <w:jc w:val="left"/>
            </w:pPr>
            <w:r>
              <w:rPr>
                <w:b/>
                <w:bCs/>
              </w:rPr>
              <w:t xml:space="preserve">DGS</w:t>
            </w:r>
          </w:p>
        </w:tc>
        <w:tc>
          <w:tcPr/>
          <w:p>
            <w:pPr>
              <w:pStyle w:val="Compact"/>
              <w:jc w:val="left"/>
            </w:pPr>
            <w:r>
              <w:t xml:space="preserve">Deutsche Gebärdensprache (German Sign Language)</w:t>
            </w:r>
          </w:p>
        </w:tc>
      </w:tr>
      <w:tr>
        <w:tc>
          <w:tcPr/>
          <w:p>
            <w:pPr>
              <w:pStyle w:val="Compact"/>
              <w:jc w:val="left"/>
            </w:pPr>
            <w:r>
              <w:rPr>
                <w:b/>
                <w:bCs/>
              </w:rPr>
              <w:t xml:space="preserve">FPS</w:t>
            </w:r>
          </w:p>
        </w:tc>
        <w:tc>
          <w:tcPr/>
          <w:p>
            <w:pPr>
              <w:pStyle w:val="Compact"/>
              <w:jc w:val="left"/>
            </w:pPr>
            <w:r>
              <w:t xml:space="preserve">Frames Per Second</w:t>
            </w:r>
          </w:p>
        </w:tc>
      </w:tr>
      <w:tr>
        <w:tc>
          <w:tcPr/>
          <w:p>
            <w:pPr>
              <w:pStyle w:val="Compact"/>
              <w:jc w:val="left"/>
            </w:pPr>
            <w:r>
              <w:rPr>
                <w:b/>
                <w:bCs/>
              </w:rPr>
              <w:t xml:space="preserve">GUI</w:t>
            </w:r>
          </w:p>
        </w:tc>
        <w:tc>
          <w:tcPr/>
          <w:p>
            <w:pPr>
              <w:pStyle w:val="Compact"/>
              <w:jc w:val="left"/>
            </w:pPr>
            <w:r>
              <w:t xml:space="preserve">Graphical User Interface</w:t>
            </w:r>
          </w:p>
        </w:tc>
      </w:tr>
      <w:tr>
        <w:tc>
          <w:tcPr/>
          <w:p>
            <w:pPr>
              <w:pStyle w:val="Compact"/>
              <w:jc w:val="left"/>
            </w:pPr>
            <w:r>
              <w:rPr>
                <w:b/>
                <w:bCs/>
              </w:rPr>
              <w:t xml:space="preserve">HMM</w:t>
            </w:r>
          </w:p>
        </w:tc>
        <w:tc>
          <w:tcPr/>
          <w:p>
            <w:pPr>
              <w:pStyle w:val="Compact"/>
              <w:jc w:val="left"/>
            </w:pPr>
            <w:r>
              <w:t xml:space="preserve">Hidden Markov Model</w:t>
            </w:r>
          </w:p>
        </w:tc>
      </w:tr>
      <w:tr>
        <w:tc>
          <w:tcPr/>
          <w:p>
            <w:pPr>
              <w:pStyle w:val="Compact"/>
              <w:jc w:val="left"/>
            </w:pPr>
            <w:r>
              <w:rPr>
                <w:b/>
                <w:bCs/>
              </w:rPr>
              <w:t xml:space="preserve">LSTM</w:t>
            </w:r>
          </w:p>
        </w:tc>
        <w:tc>
          <w:tcPr/>
          <w:p>
            <w:pPr>
              <w:pStyle w:val="Compact"/>
              <w:jc w:val="left"/>
            </w:pPr>
            <w:r>
              <w:t xml:space="preserve">Long Short-Term Memory</w:t>
            </w:r>
          </w:p>
        </w:tc>
      </w:tr>
      <w:tr>
        <w:tc>
          <w:tcPr/>
          <w:p>
            <w:pPr>
              <w:pStyle w:val="Compact"/>
              <w:jc w:val="left"/>
            </w:pPr>
            <w:r>
              <w:rPr>
                <w:b/>
                <w:bCs/>
              </w:rPr>
              <w:t xml:space="preserve">PE</w:t>
            </w:r>
          </w:p>
        </w:tc>
        <w:tc>
          <w:tcPr/>
          <w:p>
            <w:pPr>
              <w:pStyle w:val="Compact"/>
              <w:jc w:val="left"/>
            </w:pPr>
            <w:r>
              <w:t xml:space="preserve">Positional Encoding</w:t>
            </w:r>
          </w:p>
        </w:tc>
      </w:tr>
      <w:tr>
        <w:tc>
          <w:tcPr/>
          <w:p>
            <w:pPr>
              <w:pStyle w:val="Compact"/>
              <w:jc w:val="left"/>
            </w:pPr>
            <w:r>
              <w:rPr>
                <w:b/>
                <w:bCs/>
              </w:rPr>
              <w:t xml:space="preserve">ResNet</w:t>
            </w:r>
          </w:p>
        </w:tc>
        <w:tc>
          <w:tcPr/>
          <w:p>
            <w:pPr>
              <w:pStyle w:val="Compact"/>
              <w:jc w:val="left"/>
            </w:pPr>
            <w:r>
              <w:t xml:space="preserve">Residual Neural Network</w:t>
            </w:r>
          </w:p>
        </w:tc>
      </w:tr>
      <w:tr>
        <w:tc>
          <w:tcPr/>
          <w:p>
            <w:pPr>
              <w:pStyle w:val="Compact"/>
              <w:jc w:val="left"/>
            </w:pPr>
            <w:r>
              <w:rPr>
                <w:b/>
                <w:bCs/>
              </w:rPr>
              <w:t xml:space="preserve">VAC</w:t>
            </w:r>
          </w:p>
        </w:tc>
        <w:tc>
          <w:tcPr/>
          <w:p>
            <w:pPr>
              <w:pStyle w:val="Compact"/>
              <w:jc w:val="left"/>
            </w:pPr>
            <w:r>
              <w:t xml:space="preserve">Visual Alignment Constraint</w:t>
            </w:r>
          </w:p>
        </w:tc>
      </w:tr>
      <w:tr>
        <w:tc>
          <w:tcPr/>
          <w:p>
            <w:pPr>
              <w:pStyle w:val="Compact"/>
              <w:jc w:val="left"/>
            </w:pPr>
            <w:r>
              <w:rPr>
                <w:b/>
                <w:bCs/>
              </w:rPr>
              <w:t xml:space="preserve">VRAM</w:t>
            </w:r>
          </w:p>
        </w:tc>
        <w:tc>
          <w:tcPr/>
          <w:p>
            <w:pPr>
              <w:pStyle w:val="Compact"/>
              <w:jc w:val="left"/>
            </w:pPr>
            <w:r>
              <w:t xml:space="preserve">Video Random Access Memory</w:t>
            </w:r>
          </w:p>
        </w:tc>
      </w:tr>
      <w:tr>
        <w:tc>
          <w:tcPr/>
          <w:p>
            <w:pPr>
              <w:pStyle w:val="Compact"/>
              <w:jc w:val="left"/>
            </w:pPr>
            <w:r>
              <w:rPr>
                <w:b/>
                <w:bCs/>
              </w:rPr>
              <w:t xml:space="preserve">WER</w:t>
            </w:r>
          </w:p>
        </w:tc>
        <w:tc>
          <w:tcPr/>
          <w:p>
            <w:pPr>
              <w:pStyle w:val="Compact"/>
              <w:jc w:val="left"/>
            </w:pPr>
            <w:r>
              <w:t xml:space="preserve">Word Error Rate</w:t>
            </w:r>
          </w:p>
        </w:tc>
      </w:tr>
    </w:tbl>
    <w:bookmarkEnd w:id="34"/>
    <w:bookmarkStart w:id="35" w:name="list-of-symbols"/>
    <w:p>
      <w:pPr>
        <w:pStyle w:val="Heading2"/>
      </w:pPr>
      <w:r>
        <w:t xml:space="preserve">List of Symbols</w:t>
      </w:r>
    </w:p>
    <w:tbl>
      <w:tblPr>
        <w:tblStyle w:val="Table"/>
        <w:tblW w:type="auto" w:w="0"/>
        <w:tblLook w:firstRow="0" w:lastRow="0" w:firstColumn="0" w:lastColumn="0" w:noHBand="0" w:noVBand="0" w:val="0000"/>
      </w:tblPr>
      <w:tblGrid>
        <w:gridCol w:w="3960"/>
        <w:gridCol w:w="3960"/>
      </w:tblGrid>
      <w:tr>
        <w:tc>
          <w:tcPr/>
          <w:p>
            <w:pPr>
              <w:pStyle w:val="Compact"/>
              <w:jc w:val="left"/>
            </w:pPr>
            <m:oMath>
              <m:sSub>
                <m:e>
                  <m:r>
                    <m:t>λ</m:t>
                  </m:r>
                </m:e>
                <m:sub>
                  <m:r>
                    <m:t>C</m:t>
                  </m:r>
                  <m:r>
                    <m:t>E</m:t>
                  </m:r>
                </m:sub>
              </m:sSub>
            </m:oMath>
          </w:p>
        </w:tc>
        <w:tc>
          <w:tcPr/>
          <w:p>
            <w:pPr>
              <w:pStyle w:val="Compact"/>
              <w:jc w:val="left"/>
            </w:pPr>
            <w:r>
              <w:t xml:space="preserve">Cross-Entropy Loss Weight Coefficient</w:t>
            </w:r>
          </w:p>
        </w:tc>
      </w:tr>
      <w:tr>
        <w:tc>
          <w:tcPr/>
          <w:p>
            <w:pPr>
              <w:pStyle w:val="Compact"/>
              <w:jc w:val="left"/>
            </w:pPr>
            <m:oMath>
              <m:sSub>
                <m:e>
                  <m:r>
                    <m:t>λ</m:t>
                  </m:r>
                </m:e>
                <m:sub>
                  <m:r>
                    <m:t>C</m:t>
                  </m:r>
                  <m:r>
                    <m:t>T</m:t>
                  </m:r>
                  <m:r>
                    <m:t>C</m:t>
                  </m:r>
                </m:sub>
              </m:sSub>
            </m:oMath>
          </w:p>
        </w:tc>
        <w:tc>
          <w:tcPr/>
          <w:p>
            <w:pPr>
              <w:pStyle w:val="Compact"/>
              <w:jc w:val="left"/>
            </w:pPr>
            <w:r>
              <w:t xml:space="preserve">Connectionist Temporal Classification Loss Weight Coefficient</w:t>
            </w:r>
          </w:p>
        </w:tc>
      </w:tr>
      <w:tr>
        <w:tc>
          <w:tcPr/>
          <w:p>
            <w:pPr>
              <w:pStyle w:val="Compact"/>
              <w:jc w:val="left"/>
            </w:pPr>
            <m:oMath>
              <m:sSub>
                <m:e>
                  <m:r>
                    <m:t>d</m:t>
                  </m:r>
                </m:e>
                <m:sub>
                  <m:r>
                    <m:t>m</m:t>
                  </m:r>
                  <m:r>
                    <m:t>o</m:t>
                  </m:r>
                  <m:r>
                    <m:t>d</m:t>
                  </m:r>
                  <m:r>
                    <m:t>e</m:t>
                  </m:r>
                  <m:r>
                    <m:t>l</m:t>
                  </m:r>
                </m:sub>
              </m:sSub>
            </m:oMath>
          </w:p>
        </w:tc>
        <w:tc>
          <w:tcPr/>
          <w:p>
            <w:pPr>
              <w:pStyle w:val="Compact"/>
              <w:jc w:val="left"/>
            </w:pPr>
            <w:r>
              <w:t xml:space="preserve">Transformer Hidden Mapping Dimension</w:t>
            </w:r>
          </w:p>
        </w:tc>
      </w:tr>
      <w:tr>
        <w:tc>
          <w:tcPr/>
          <w:p>
            <w:pPr>
              <w:pStyle w:val="Compact"/>
              <w:jc w:val="left"/>
            </w:pPr>
            <m:oMath>
              <m:r>
                <m:t>Q</m:t>
              </m:r>
              <m:r>
                <m:rPr>
                  <m:sty m:val="p"/>
                </m:rPr>
                <m:t>,</m:t>
              </m:r>
              <m:r>
                <m:t>K</m:t>
              </m:r>
              <m:r>
                <m:rPr>
                  <m:sty m:val="p"/>
                </m:rPr>
                <m:t>,</m:t>
              </m:r>
              <m:r>
                <m:t>V</m:t>
              </m:r>
            </m:oMath>
          </w:p>
        </w:tc>
        <w:tc>
          <w:tcPr/>
          <w:p>
            <w:pPr>
              <w:pStyle w:val="Compact"/>
              <w:jc w:val="left"/>
            </w:pPr>
            <w:r>
              <w:t xml:space="preserve">Query, Key, and Value Projections in Attention</w:t>
            </w:r>
          </w:p>
        </w:tc>
      </w:tr>
      <w:tr>
        <w:tc>
          <w:tcPr/>
          <w:p>
            <w:pPr>
              <w:pStyle w:val="Compact"/>
              <w:jc w:val="left"/>
            </w:pPr>
            <m:oMath>
              <m:r>
                <m:t>T</m:t>
              </m:r>
            </m:oMath>
          </w:p>
        </w:tc>
        <w:tc>
          <w:tcPr/>
          <w:p>
            <w:pPr>
              <w:pStyle w:val="Compact"/>
              <w:jc w:val="left"/>
            </w:pPr>
            <w:r>
              <w:t xml:space="preserve">Total Sequence Frame Length</w:t>
            </w:r>
          </w:p>
        </w:tc>
      </w:tr>
      <w:tr>
        <w:tc>
          <w:tcPr/>
          <w:p>
            <w:pPr>
              <w:pStyle w:val="Compact"/>
              <w:jc w:val="left"/>
            </w:pPr>
            <m:oMath>
              <m:r>
                <m:t>h</m:t>
              </m:r>
            </m:oMath>
          </w:p>
        </w:tc>
        <w:tc>
          <w:tcPr/>
          <w:p>
            <w:pPr>
              <w:pStyle w:val="Compact"/>
              <w:jc w:val="left"/>
            </w:pPr>
            <w:r>
              <w:t xml:space="preserve">Number of Multi-Head Attention Channels</w:t>
            </w:r>
          </w:p>
        </w:tc>
      </w:tr>
      <w:tr>
        <w:tc>
          <w:tcPr/>
          <w:p>
            <w:pPr>
              <w:pStyle w:val="Compact"/>
              <w:jc w:val="left"/>
            </w:pPr>
            <m:oMath>
              <m:r>
                <m:t>D</m:t>
              </m:r>
            </m:oMath>
          </w:p>
        </w:tc>
        <w:tc>
          <w:tcPr/>
          <w:p>
            <w:pPr>
              <w:pStyle w:val="Compact"/>
              <w:jc w:val="left"/>
            </w:pPr>
            <w:r>
              <w:t xml:space="preserve">Dimensional Output Space (e.g.,</w:t>
            </w:r>
            <w:r>
              <w:t xml:space="preserve"> </w:t>
            </w:r>
            <m:oMath>
              <m:r>
                <m:t>D</m:t>
              </m:r>
              <m:r>
                <m:rPr>
                  <m:sty m:val="p"/>
                </m:rPr>
                <m:t>=</m:t>
              </m:r>
              <m:r>
                <m:t>512</m:t>
              </m:r>
            </m:oMath>
            <w:r>
              <w:t xml:space="preserve">)</w:t>
            </w: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2026-04-26T12:36:05Z</dcterms:created>
  <dcterms:modified xsi:type="dcterms:W3CDTF">2026-04-26T12:36:05Z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