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b/>
          <w:bCs/>
          <w:color w:val="1F2937"/>
          <w:sz w:val="40"/>
          <w:szCs w:val="40"/>
        </w:rPr>
        <w:t xml:space="preserve">Source Code Review &amp; Security Assurance Report</w:t>
      </w:r>
    </w:p>
    <w:p>
      <w:pPr>
        <w:spacing w:after="400"/>
      </w:pPr>
      <w:r>
        <w:rPr>
          <w:color w:val="663DB3"/>
          <w:sz w:val="26"/>
          <w:szCs w:val="26"/>
        </w:rPr>
        <w:t xml:space="preserve">DWAO React Accessibility Kit (embeddable widget, init.js) — v2.0.0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Pr>
          <w:p>
            <w:r>
              <w:rPr>
                <w:b/>
                <w:bCs/>
                <w:sz w:val="20"/>
                <w:szCs w:val="20"/>
              </w:rPr>
              <w:t xml:space="preserve">Prepared by</w:t>
            </w:r>
          </w:p>
        </w:tc>
        <w:tc>
          <w:tcPr>
            <w:tcW w:type="dxa" w:w="6960"/>
          </w:tcPr>
          <w:p>
            <w:r>
              <w:rPr>
                <w:b w:val="false"/>
                <w:bCs w:val="false"/>
                <w:sz w:val="20"/>
                <w:szCs w:val="20"/>
              </w:rPr>
              <w:t xml:space="preserve">Jay Vyas</w:t>
            </w:r>
          </w:p>
        </w:tc>
      </w:tr>
      <w:tr>
        <w:tc>
          <w:tcPr>
            <w:tcW w:type="dxa" w:w="2400"/>
          </w:tcPr>
          <w:p>
            <w:r>
              <w:rPr>
                <w:b/>
                <w:bCs/>
                <w:sz w:val="20"/>
                <w:szCs w:val="20"/>
              </w:rPr>
              <w:t xml:space="preserve">Prepared for</w:t>
            </w:r>
          </w:p>
        </w:tc>
        <w:tc>
          <w:tcPr>
            <w:tcW w:type="dxa" w:w="6960"/>
          </w:tcPr>
          <w:p>
            <w:r>
              <w:rPr>
                <w:b w:val="false"/>
                <w:bCs w:val="false"/>
                <w:sz w:val="20"/>
                <w:szCs w:val="20"/>
              </w:rPr>
              <w:t xml:space="preserve">Internal Risk Management (IRM) review</w:t>
            </w:r>
          </w:p>
        </w:tc>
      </w:tr>
      <w:tr>
        <w:tc>
          <w:tcPr>
            <w:tcW w:type="dxa" w:w="2400"/>
          </w:tcPr>
          <w:p>
            <w:r>
              <w:rPr>
                <w:b/>
                <w:bCs/>
                <w:sz w:val="20"/>
                <w:szCs w:val="20"/>
              </w:rPr>
              <w:t xml:space="preserve">Date</w:t>
            </w:r>
          </w:p>
        </w:tc>
        <w:tc>
          <w:tcPr>
            <w:tcW w:type="dxa" w:w="6960"/>
          </w:tcPr>
          <w:p>
            <w:r>
              <w:rPr>
                <w:b w:val="false"/>
                <w:bCs w:val="false"/>
                <w:sz w:val="20"/>
                <w:szCs w:val="20"/>
              </w:rPr>
              <w:t xml:space="preserve">22 September 2026</w:t>
            </w:r>
          </w:p>
        </w:tc>
      </w:tr>
      <w:tr>
        <w:tc>
          <w:tcPr>
            <w:tcW w:type="dxa" w:w="2400"/>
          </w:tcPr>
          <w:p>
            <w:r>
              <w:rPr>
                <w:b/>
                <w:bCs/>
                <w:sz w:val="20"/>
                <w:szCs w:val="20"/>
              </w:rPr>
              <w:t xml:space="preserve">Repository</w:t>
            </w:r>
          </w:p>
        </w:tc>
        <w:tc>
          <w:tcPr>
            <w:tcW w:type="dxa" w:w="6960"/>
          </w:tcPr>
          <w:p>
            <w:r>
              <w:rPr>
                <w:b w:val="false"/>
                <w:bCs w:val="false"/>
                <w:sz w:val="20"/>
                <w:szCs w:val="20"/>
              </w:rPr>
              <w:t xml:space="preserve">react-proj (branch: acc-angular)</w:t>
            </w:r>
          </w:p>
        </w:tc>
      </w:tr>
      <w:tr>
        <w:tc>
          <w:tcPr>
            <w:tcW w:type="dxa" w:w="2400"/>
          </w:tcPr>
          <w:p>
            <w:r>
              <w:rPr>
                <w:b/>
                <w:bCs/>
                <w:sz w:val="20"/>
                <w:szCs w:val="20"/>
              </w:rPr>
              <w:t xml:space="preserve">Component reviewed</w:t>
            </w:r>
          </w:p>
        </w:tc>
        <w:tc>
          <w:tcPr>
            <w:tcW w:type="dxa" w:w="6960"/>
          </w:tcPr>
          <w:p>
            <w:r>
              <w:rPr>
                <w:b w:val="false"/>
                <w:bCs w:val="false"/>
                <w:sz w:val="20"/>
                <w:szCs w:val="20"/>
              </w:rPr>
              <w:t xml:space="preserve">src/scripts/init.js and packaged build public/React Accessibility kit/init.js</w:t>
            </w:r>
          </w:p>
        </w:tc>
      </w:tr>
    </w:tbl>
    <w:p>
      <w:pPr>
        <w:spacing w:before="400"/>
      </w:pPr>
    </w:p>
    <w:p>
      <w:pPr>
        <w:pBdr>
          <w:bottom w:val="single" w:color="CCCCCC" w:sz="6" w:space="1"/>
        </w:pBdr>
        <w:spacing w:after="200"/>
      </w:pPr>
    </w:p>
    <w:p>
      <w:pPr>
        <w:pStyle w:val="Heading1"/>
        <w:spacing w:after="160" w:before="320"/>
      </w:pPr>
      <w:r>
        <w:t xml:space="preserve">1. Executive Summary</w:t>
      </w:r>
    </w:p>
    <w:p>
      <w:pPr>
        <w:spacing w:after="160"/>
      </w:pPr>
      <w:r>
        <w:t xml:space="preserve">This report documents a manual source code security review of the DWAO Accessibility Kit — a client-embeddable JavaScript widget that adds accessibility controls (font size, contrast, reading aids, etc.) to third-party host websites via a single &lt;script&gt; tag.</w:t>
      </w:r>
    </w:p>
    <w:p>
      <w:pPr>
        <w:spacing w:after="160"/>
      </w:pPr>
      <w:r>
        <w:t xml:space="preserve">The review found two code-level findings, both DOM cross-site-scripting (XSS) sink patterns arising from the use of innerHTML with page-derived text — one High severity, one Medium. No secrets, no unauthorized outbound network calls or telemetry, no eval-family code execution, and no unsafe cross-origin messaging were found. The widget is dependency-free vanilla JavaScript and does not bundle any of the flagged npm packages into the shipped artifact.</w:t>
      </w:r>
    </w:p>
    <w:p>
      <w:pPr>
        <w:spacing w:after="160"/>
      </w:pPr>
      <w:r>
        <w:t xml:space="preserve">One additional informational item was raised regarding an unrelated file in the same repository (a demo iframe page) that is not part of the distributed widget package but is worth the team's attention before any further sharing of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shd w:fill="E5E7EB" w:val="clear"/>
          </w:tcPr>
          <w:p>
            <w:r>
              <w:rPr>
                <w:b/>
                <w:bCs/>
                <w:sz w:val="20"/>
                <w:szCs w:val="20"/>
              </w:rPr>
              <w:t xml:space="preserve">Severity</w:t>
            </w:r>
          </w:p>
        </w:tc>
        <w:tc>
          <w:tcPr>
            <w:tcW w:type="dxa" w:w="5760"/>
            <w:shd w:fill="E5E7EB" w:val="clear"/>
          </w:tcPr>
          <w:p>
            <w:r>
              <w:rPr>
                <w:b/>
                <w:bCs/>
                <w:sz w:val="20"/>
                <w:szCs w:val="20"/>
              </w:rPr>
              <w:t xml:space="preserve">Finding</w:t>
            </w:r>
          </w:p>
        </w:tc>
        <w:tc>
          <w:tcPr>
            <w:tcW w:type="dxa" w:w="2000"/>
            <w:shd w:fill="E5E7EB" w:val="clear"/>
          </w:tcPr>
          <w:p>
            <w:r>
              <w:rPr>
                <w:b/>
                <w:bCs/>
                <w:sz w:val="20"/>
                <w:szCs w:val="20"/>
              </w:rPr>
              <w:t xml:space="preserve">Location</w:t>
            </w:r>
          </w:p>
        </w:tc>
      </w:tr>
      <w:tr>
        <w:tc>
          <w:tcPr>
            <w:tcW w:type="dxa" w:w="1600"/>
            <w:shd w:fill="C0392B" w:val="clear"/>
            <w:vAlign w:val="center"/>
          </w:tcPr>
          <w:p>
            <w:pPr>
              <w:jc w:val="center"/>
            </w:pPr>
            <w:r>
              <w:rPr>
                <w:b/>
                <w:bCs/>
                <w:color w:val="FFFFFF"/>
                <w:sz w:val="18"/>
                <w:szCs w:val="18"/>
              </w:rPr>
              <w:t xml:space="preserve">HIGH</w:t>
            </w:r>
          </w:p>
        </w:tc>
        <w:tc>
          <w:tcPr>
            <w:tcW w:type="dxa" w:w="5760"/>
          </w:tcPr>
          <w:p>
            <w:r>
              <w:rPr>
                <w:b w:val="false"/>
                <w:bCs w:val="false"/>
                <w:sz w:val="20"/>
                <w:szCs w:val="20"/>
              </w:rPr>
              <w:t xml:space="preserve">DOM XSS via innerHTML assignment of image alt text</w:t>
            </w:r>
          </w:p>
        </w:tc>
        <w:tc>
          <w:tcPr>
            <w:tcW w:type="dxa" w:w="2000"/>
          </w:tcPr>
          <w:p>
            <w:r>
              <w:rPr>
                <w:b w:val="false"/>
                <w:bCs w:val="false"/>
                <w:sz w:val="20"/>
                <w:szCs w:val="20"/>
              </w:rPr>
              <w:t xml:space="preserve">init.js:1182</w:t>
            </w:r>
          </w:p>
        </w:tc>
      </w:tr>
      <w:tr>
        <w:tc>
          <w:tcPr>
            <w:tcW w:type="dxa" w:w="1600"/>
            <w:shd w:fill="D68910" w:val="clear"/>
            <w:vAlign w:val="center"/>
          </w:tcPr>
          <w:p>
            <w:pPr>
              <w:jc w:val="center"/>
            </w:pPr>
            <w:r>
              <w:rPr>
                <w:b/>
                <w:bCs/>
                <w:color w:val="FFFFFF"/>
                <w:sz w:val="18"/>
                <w:szCs w:val="18"/>
              </w:rPr>
              <w:t xml:space="preserve">MEDIUM</w:t>
            </w:r>
          </w:p>
        </w:tc>
        <w:tc>
          <w:tcPr>
            <w:tcW w:type="dxa" w:w="5760"/>
          </w:tcPr>
          <w:p>
            <w:r>
              <w:rPr>
                <w:b w:val="false"/>
                <w:bCs w:val="false"/>
                <w:sz w:val="20"/>
                <w:szCs w:val="20"/>
              </w:rPr>
              <w:t xml:space="preserve">DOM XSS via innerHTML re-injection of heading innerText</w:t>
            </w:r>
          </w:p>
        </w:tc>
        <w:tc>
          <w:tcPr>
            <w:tcW w:type="dxa" w:w="2000"/>
          </w:tcPr>
          <w:p>
            <w:r>
              <w:rPr>
                <w:b w:val="false"/>
                <w:bCs w:val="false"/>
                <w:sz w:val="20"/>
                <w:szCs w:val="20"/>
              </w:rPr>
              <w:t xml:space="preserve">init.js:1742</w:t>
            </w:r>
          </w:p>
        </w:tc>
      </w:tr>
      <w:tr>
        <w:tc>
          <w:tcPr>
            <w:tcW w:type="dxa" w:w="1600"/>
            <w:shd w:fill="7F8C8D" w:val="clear"/>
            <w:vAlign w:val="center"/>
          </w:tcPr>
          <w:p>
            <w:pPr>
              <w:jc w:val="center"/>
            </w:pPr>
            <w:r>
              <w:rPr>
                <w:b/>
                <w:bCs/>
                <w:color w:val="FFFFFF"/>
                <w:sz w:val="18"/>
                <w:szCs w:val="18"/>
              </w:rPr>
              <w:t xml:space="preserve">INFO</w:t>
            </w:r>
          </w:p>
        </w:tc>
        <w:tc>
          <w:tcPr>
            <w:tcW w:type="dxa" w:w="5760"/>
          </w:tcPr>
          <w:p>
            <w:r>
              <w:rPr>
                <w:b w:val="false"/>
                <w:bCs w:val="false"/>
                <w:sz w:val="20"/>
                <w:szCs w:val="20"/>
              </w:rPr>
              <w:t xml:space="preserve">Unrelated demo page frames a third-party bank UAT login domain with no sandboxing</w:t>
            </w:r>
          </w:p>
        </w:tc>
        <w:tc>
          <w:tcPr>
            <w:tcW w:type="dxa" w:w="2000"/>
          </w:tcPr>
          <w:p>
            <w:r>
              <w:rPr>
                <w:b w:val="false"/>
                <w:bCs w:val="false"/>
                <w:sz w:val="20"/>
                <w:szCs w:val="20"/>
              </w:rPr>
              <w:t xml:space="preserve">src/pages/IframeView.jsx</w:t>
            </w:r>
          </w:p>
        </w:tc>
      </w:tr>
    </w:tbl>
    <w:p>
      <w:pPr>
        <w:spacing w:before="400"/>
      </w:pPr>
    </w:p>
    <w:p>
      <w:pPr>
        <w:pStyle w:val="Heading1"/>
        <w:spacing w:after="160" w:before="320"/>
      </w:pPr>
      <w:r>
        <w:t xml:space="preserve">2. Scope &amp; Methodology</w:t>
      </w:r>
    </w:p>
    <w:p>
      <w:pPr>
        <w:spacing w:after="160"/>
      </w:pPr>
      <w:r>
        <w:rPr>
          <w:b/>
          <w:bCs/>
        </w:rPr>
        <w:t xml:space="preserve">Scope:</w:t>
      </w:r>
    </w:p>
    <w:p>
      <w:pPr>
        <w:pStyle w:val="ListParagraph"/>
        <w:numPr>
          <w:ilvl w:val="0"/>
          <w:numId w:val="2"/>
        </w:numPr>
        <w:spacing w:after="60"/>
      </w:pPr>
      <w:r>
        <w:t xml:space="preserve">src/scripts/init.js — canonical source of the accessibility widget (2,185 lines)</w:t>
      </w:r>
    </w:p>
    <w:p>
      <w:pPr>
        <w:pStyle w:val="ListParagraph"/>
        <w:numPr>
          <w:ilvl w:val="0"/>
          <w:numId w:val="2"/>
        </w:numPr>
        <w:spacing w:after="60"/>
      </w:pPr>
      <w:r>
        <w:t xml:space="preserve">public/React Accessibility kit/init.js — client-specific packaged/themed build (2,226 lines), diffed line-by-line against the source</w:t>
      </w:r>
    </w:p>
    <w:p>
      <w:pPr>
        <w:pStyle w:val="ListParagraph"/>
        <w:numPr>
          <w:ilvl w:val="0"/>
          <w:numId w:val="2"/>
        </w:numPr>
        <w:spacing w:after="60"/>
      </w:pPr>
      <w:r>
        <w:t xml:space="preserve">public/React Accessibility kit/dwao-accessibility.d.ts — public TypeScript API surface</w:t>
      </w:r>
    </w:p>
    <w:p>
      <w:pPr>
        <w:pStyle w:val="ListParagraph"/>
        <w:numPr>
          <w:ilvl w:val="0"/>
          <w:numId w:val="2"/>
        </w:numPr>
        <w:spacing w:after="60"/>
      </w:pPr>
      <w:r>
        <w:t xml:space="preserve">Demo/host application: src/App.jsx, src/main.jsx, src/components/*.jsx, src/pages/*.jsx, src/data/cards.js</w:t>
      </w:r>
    </w:p>
    <w:p>
      <w:pPr>
        <w:pStyle w:val="ListParagraph"/>
        <w:numPr>
          <w:ilvl w:val="0"/>
          <w:numId w:val="2"/>
        </w:numPr>
        <w:spacing w:after="60"/>
      </w:pPr>
      <w:r>
        <w:t xml:space="preserve">Third-party dependency posture via npm audit (Software Composition Analysis)</w:t>
      </w:r>
    </w:p>
    <w:p>
      <w:pPr>
        <w:spacing w:after="160"/>
      </w:pPr>
    </w:p>
    <w:p>
      <w:pPr>
        <w:spacing w:after="160"/>
      </w:pPr>
      <w:r>
        <w:t xml:space="preserve">Method: manual line-level read of the full widget source, targeted grep verification of dangerous sinks and patterns, and dependency graph inspection. The review focused on the threat model relevant to a script embedded on third-party production websites: unsanitized DOM writes, unauthorized data exfiltration, unsafe code execution, insecure storage, unvalidated cross-origin messaging, and supply-chain integrity of loaded resources.</w:t>
      </w:r>
    </w:p>
    <w:p>
      <w:pPr>
        <w:pStyle w:val="Heading1"/>
        <w:spacing w:after="160" w:before="320"/>
      </w:pPr>
      <w:r>
        <w:t xml:space="preserve">3. Detailed Findings</w:t>
      </w:r>
    </w:p>
    <w:p>
      <w:pPr>
        <w:pStyle w:val="Heading2"/>
        <w:spacing w:after="120" w:before="240"/>
      </w:pPr>
      <w:r>
        <w:t xml:space="preserve">3.1  HIGH — DOM XSS via innerHTML assignment of image alt text</w:t>
      </w:r>
    </w:p>
    <w:p>
      <w:pPr>
        <w:spacing w:after="160"/>
      </w:pPr>
      <w:r>
        <w:rPr>
          <w:i/>
          <w:iCs/>
        </w:rPr>
        <w:t xml:space="preserve">Location: src/scripts/init.js:1182, function toggleAltText()</w:t>
      </w:r>
    </w:p>
    <w:p>
      <w:pPr>
        <w:shd w:fill="F2F2F2" w:val="clear"/>
        <w:spacing w:after="160"/>
      </w:pPr>
      <w:r>
        <w:rPr>
          <w:rFonts w:ascii="Consolas" w:cs="Consolas" w:eastAsia="Consolas" w:hAnsi="Consolas"/>
          <w:sz w:val="18"/>
          <w:szCs w:val="18"/>
        </w:rPr>
        <w:t xml:space="preserve">tooltip.innerHTML = img.alt;</w:t>
      </w:r>
    </w:p>
    <w:p>
      <w:pPr>
        <w:spacing w:after="160"/>
      </w:pPr>
      <w:r>
        <w:t xml:space="preserve">An HTML attribute value (alt) is inherently inert — browsers never execute markup found inside an attribute. This line converts that inert text into an innerHTML sink, so any host page where an image's alt text can be influenced by a user, a CMS field, or an uploaded asset (avatars, product listings, articles, forum posts) becomes exploitable purely because the widget is installed: hovering the image runs attacker-supplied markup in the host site's own origin.</w:t>
      </w:r>
    </w:p>
    <w:p>
      <w:pPr>
        <w:spacing w:after="160"/>
      </w:pPr>
      <w:r>
        <w:t xml:space="preserve">Exploitability: triggered by anyone who can influence alt text on the host site (a malicious end user, a compromised CMS account, or an untrusted content pipeline) — not a vulnerability in this codebase's own data, but a sink the widget introduces on every site it is embedded in.</w:t>
      </w:r>
    </w:p>
    <w:p>
      <w:pPr>
        <w:spacing w:after="160"/>
      </w:pPr>
      <w:r>
        <w:t xml:space="preserve">Recommendation: replace with tooltip.textContent = img.alt; (or an equivalent text-only assignment). No behavioral change is expected since tooltips display plain text.</w:t>
      </w:r>
    </w:p>
    <w:p>
      <w:pPr>
        <w:pStyle w:val="Heading2"/>
        <w:spacing w:after="120" w:before="240"/>
      </w:pPr>
      <w:r>
        <w:t xml:space="preserve">3.2  MEDIUM — DOM XSS via innerHTML re-injection of heading text</w:t>
      </w:r>
    </w:p>
    <w:p>
      <w:pPr>
        <w:spacing w:after="160"/>
      </w:pPr>
      <w:r>
        <w:rPr>
          <w:i/>
          <w:iCs/>
        </w:rPr>
        <w:t xml:space="preserve">Location: src/scripts/init.js:1742, function getPageStructure()</w:t>
      </w:r>
    </w:p>
    <w:p>
      <w:pPr>
        <w:shd w:fill="F2F2F2" w:val="clear"/>
        <w:spacing w:after="160"/>
      </w:pPr>
      <w:r>
        <w:rPr>
          <w:rFonts w:ascii="Consolas" w:cs="Consolas" w:eastAsia="Consolas" w:hAnsi="Consolas"/>
          <w:sz w:val="18"/>
          <w:szCs w:val="18"/>
        </w:rPr>
        <w:t xml:space="preserve">innerHTML: heading.innerText.trim()</w:t>
      </w:r>
    </w:p>
    <w:p>
      <w:pPr>
        <w:spacing w:after="160"/>
      </w:pPr>
      <w:r>
        <w:t xml:space="preserve">innerText returns the rendered text of an element. If a heading contains literal encoded characters (e.g. &amp;lt;script&amp;gt;) from user-generated content such as a blog or forum title, that text is re-parsed as HTML when written back via innerHTML. Likelihood is lower than 3.1 since heading text is more often site-authored, but the pattern and fix are the same.</w:t>
      </w:r>
    </w:p>
    <w:p>
      <w:pPr>
        <w:spacing w:after="160"/>
      </w:pPr>
      <w:r>
        <w:t xml:space="preserve">Recommendation: use textContent or DOM node creation (document.createTextNode) instead of innerHTML for this assignment.</w:t>
      </w:r>
    </w:p>
    <w:p>
      <w:pPr>
        <w:pStyle w:val="Heading2"/>
        <w:spacing w:after="120" w:before="240"/>
      </w:pPr>
      <w:r>
        <w:t xml:space="preserve">3.3  INFORMATIONAL — Unrelated demo file frames a third-party bank UAT domain</w:t>
      </w:r>
    </w:p>
    <w:p>
      <w:pPr>
        <w:spacing w:after="160"/>
      </w:pPr>
      <w:r>
        <w:rPr>
          <w:i/>
          <w:iCs/>
        </w:rPr>
        <w:t xml:space="preserve">Location: src/pages/IframeView.jsx (new, currently untracked in the working tree — not part of the packaged widget)</w:t>
      </w:r>
    </w:p>
    <w:p>
      <w:pPr>
        <w:spacing w:after="160"/>
      </w:pPr>
      <w:r>
        <w:t xml:space="preserve">This file embeds https://prelogin-uat.icicidirect.com/ inside a bare &lt;iframe&gt; with no sandbox or referrerpolicy attribute. It is not part of the accessibility widget and does not ship to client sites, but framing a third-party bank's pre-login/authentication UAT domain is exactly the pattern an IRM review would flag independently (clickjacking / phishing-adjacent) if this repository or page is shared further. Recommend confirming intent, adding a sandbox attribute, or removing the page before any wider distribution of this repository.</w:t>
      </w:r>
    </w:p>
    <w:p>
      <w:pPr>
        <w:pStyle w:val="Heading1"/>
        <w:spacing w:after="160" w:before="320"/>
      </w:pPr>
      <w:r>
        <w:t xml:space="preserve">4. Areas Reviewed — No Issues Found</w:t>
      </w:r>
    </w:p>
    <w:p>
      <w:pPr>
        <w:spacing w:after="160"/>
      </w:pPr>
      <w:r>
        <w:t xml:space="preserve">The following categories were specifically checked across the full widget source and returned no findings:</w:t>
      </w:r>
    </w:p>
    <w:p>
      <w:pPr>
        <w:pStyle w:val="ListParagraph"/>
        <w:numPr>
          <w:ilvl w:val="0"/>
          <w:numId w:val="2"/>
        </w:numPr>
        <w:spacing w:after="60"/>
      </w:pPr>
      <w:r>
        <w:t xml:space="preserve">Code execution: no eval, no new Function, no string-argument setTimeout/setInterval anywhere in the widget.</w:t>
      </w:r>
    </w:p>
    <w:p>
      <w:pPr>
        <w:pStyle w:val="ListParagraph"/>
        <w:numPr>
          <w:ilvl w:val="0"/>
          <w:numId w:val="2"/>
        </w:numPr>
        <w:spacing w:after="60"/>
      </w:pPr>
      <w:r>
        <w:t xml:space="preserve">Outbound network activity: no fetch, XMLHttpRequest, or sendBeacon calls — the widget makes zero network requests and contains no telemetry or analytics of any kind.</w:t>
      </w:r>
    </w:p>
    <w:p>
      <w:pPr>
        <w:pStyle w:val="ListParagraph"/>
        <w:numPr>
          <w:ilvl w:val="0"/>
          <w:numId w:val="2"/>
        </w:numPr>
        <w:spacing w:after="60"/>
      </w:pPr>
      <w:r>
        <w:t xml:space="preserve">Cross-origin messaging: no postMessage listeners are registered, so there is no origin-validation gap to assess.</w:t>
      </w:r>
    </w:p>
    <w:p>
      <w:pPr>
        <w:pStyle w:val="ListParagraph"/>
        <w:numPr>
          <w:ilvl w:val="0"/>
          <w:numId w:val="2"/>
        </w:numPr>
        <w:spacing w:after="60"/>
      </w:pPr>
      <w:r>
        <w:t xml:space="preserve">Third-party resource loading: no dynamic &lt;script&gt; injection or external CDN fetches; all icons are inline SVG and all styles are inlined via a single &lt;style&gt; block, so there are no subresource-integrity (SRI) concerns.</w:t>
      </w:r>
    </w:p>
    <w:p>
      <w:pPr>
        <w:pStyle w:val="ListParagraph"/>
        <w:numPr>
          <w:ilvl w:val="0"/>
          <w:numId w:val="2"/>
        </w:numPr>
        <w:spacing w:after="60"/>
      </w:pPr>
      <w:r>
        <w:t xml:space="preserve">Local storage: only one key, accessibility_local_settings, storing an array of UI toggle names (e.g. "textSize"). No PII or sensitive data is stored; the key is not vendor-namespaced, a minor collision-risk hygiene note rather than a security issue.</w:t>
      </w:r>
    </w:p>
    <w:p>
      <w:pPr>
        <w:pStyle w:val="ListParagraph"/>
        <w:numPr>
          <w:ilvl w:val="0"/>
          <w:numId w:val="2"/>
        </w:numPr>
        <w:spacing w:after="60"/>
      </w:pPr>
      <w:r>
        <w:t xml:space="preserve">Secrets: no hardcoded API keys, tokens, or credentials found.</w:t>
      </w:r>
    </w:p>
    <w:p>
      <w:pPr>
        <w:pStyle w:val="ListParagraph"/>
        <w:numPr>
          <w:ilvl w:val="0"/>
          <w:numId w:val="2"/>
        </w:numPr>
        <w:spacing w:after="60"/>
      </w:pPr>
      <w:r>
        <w:t xml:space="preserve">Global scope: the widget runs as a strict-mode IIFE; state is closure-scoped. Only window.DWAOAccessibility (documented in the shipped .d.ts) and window.magnifierEnabled are exposed globally.</w:t>
      </w:r>
    </w:p>
    <w:p>
      <w:pPr>
        <w:pStyle w:val="ListParagraph"/>
        <w:numPr>
          <w:ilvl w:val="0"/>
          <w:numId w:val="2"/>
        </w:numPr>
        <w:spacing w:after="60"/>
      </w:pPr>
      <w:r>
        <w:t xml:space="preserve">Packaged build parity: public/React Accessibility kit/init.js was diffed line-by-line against src/scripts/init.js — all differences are CSS/theming (layout, spacing, brand colors for the client theme); there is no logic, network, or DOM-sink divergence between the source and the packaged artifact.</w:t>
      </w:r>
    </w:p>
    <w:p>
      <w:pPr>
        <w:pStyle w:val="Heading1"/>
        <w:spacing w:after="160" w:before="320"/>
      </w:pPr>
      <w:r>
        <w:t xml:space="preserve">5. Dependency / Software Composition Analysis</w:t>
      </w:r>
    </w:p>
    <w:p>
      <w:pPr>
        <w:spacing w:after="160"/>
      </w:pPr>
      <w:r>
        <w:t xml:space="preserve">npm audit reports 9 known advisories across the project's dependency tree (2 low, 1 moderate, 6 high). All of them sit in devDependencies / build tooling (vite, postcss, @babel/core, brace-expansion, baseline-browser-mapping) or in react-router-dom, which is used only by the React demo/host application's client-side router (src/App.jsx).</w:t>
      </w:r>
    </w:p>
    <w:p>
      <w:pPr>
        <w:spacing w:after="160"/>
      </w:pPr>
      <w:r>
        <w:t xml:space="preserve">The distributed widget (init.js) has zero import/require statements — confirmed by direct inspection — and is not built from node_modules. None of the flagged packages, including react-router's CSRF/open-redirect/XSS advisories, are present in or reachable from the artifact that actually ships to client websites.</w:t>
      </w:r>
    </w:p>
    <w:p>
      <w:pPr>
        <w:spacing w:after="160"/>
      </w:pPr>
      <w:r>
        <w:t xml:space="preserve">Recommendation: run npm audit fix on the demo application's dependencies as routine hygiene; this has no bearing on the risk profile of the shipped widget itself.</w:t>
      </w:r>
    </w:p>
    <w:p>
      <w:pPr>
        <w:pStyle w:val="Heading1"/>
        <w:spacing w:after="160" w:before="320"/>
      </w:pPr>
      <w:r>
        <w:t xml:space="preserve">6. Overall Assessment</w:t>
      </w:r>
    </w:p>
    <w:p>
      <w:pPr>
        <w:spacing w:after="160"/>
      </w:pPr>
      <w:r>
        <w:t xml:space="preserve">The accessibility widget has a narrow, well-contained attack surface: it performs no network I/O, executes no dynamically-generated code, and exposes a single documented global. The two findings identified are conventional DOM-XSS sink patterns (innerHTML misuse) rather than architectural or design-level weaknesses, and both have a one-line remediation with no expected functional impact. Once 3.1 and 3.2 are remediated, the reviewed component presents a low residual risk for embedding on third-party production sites.</w:t>
      </w:r>
    </w:p>
    <w:p>
      <w:pPr>
        <w:spacing w:before="3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2026-09-22T08:37:00.274Z</dcterms:created>
  <dcterms:modified xsi:type="dcterms:W3CDTF">2026-09-22T08:37:00.277Z</dcterms:modified>
</cp:coreProperties>
</file>

<file path=docProps/custom.xml><?xml version="1.0" encoding="utf-8"?>
<Properties xmlns="http://schemas.openxmlformats.org/officeDocument/2006/custom-properties" xmlns:vt="http://schemas.openxmlformats.org/officeDocument/2006/docPropsVTypes"/>
</file>