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l4i6o6b24sc9" w:id="0"/>
      <w:bookmarkEnd w:id="0"/>
      <w:r w:rsidDel="00000000" w:rsidR="00000000" w:rsidRPr="00000000">
        <w:rPr>
          <w:rtl w:val="0"/>
        </w:rPr>
        <w:t xml:space="preserve">Memo</w:t>
      </w:r>
    </w:p>
    <w:p w:rsidR="00000000" w:rsidDel="00000000" w:rsidP="00000000" w:rsidRDefault="00000000" w:rsidRPr="00000000" w14:paraId="00000002">
      <w:pPr>
        <w:pStyle w:val="Heading4"/>
        <w:spacing w:line="360" w:lineRule="auto"/>
        <w:rPr>
          <w:color w:val="000000"/>
        </w:rPr>
      </w:pPr>
      <w:bookmarkStart w:colFirst="0" w:colLast="0" w:name="_rmjcxw97o89" w:id="1"/>
      <w:bookmarkEnd w:id="1"/>
      <w:r w:rsidDel="00000000" w:rsidR="00000000" w:rsidRPr="00000000">
        <w:rPr>
          <w:b w:val="1"/>
          <w:bCs w:val="1"/>
          <w:color w:val="000000"/>
          <w:rtl w:val="0"/>
        </w:rPr>
        <w:t xml:space="preserve">To</w:t>
      </w:r>
      <w:r w:rsidDel="00000000" w:rsidR="00000000" w:rsidRPr="00000000">
        <w:rPr>
          <w:color w:val="000000"/>
          <w:rtl w:val="0"/>
        </w:rPr>
        <w:t xml:space="preserve">: Dr. Derek G. Ross, Dr. Stewart Whittemore, and Dr. Susan Youngblood</w:t>
      </w:r>
    </w:p>
    <w:p w:rsidR="00000000" w:rsidDel="00000000" w:rsidP="00000000" w:rsidRDefault="00000000" w:rsidRPr="00000000" w14:paraId="00000003">
      <w:pPr>
        <w:pStyle w:val="Heading4"/>
        <w:spacing w:line="360" w:lineRule="auto"/>
        <w:rPr>
          <w:color w:val="000000"/>
        </w:rPr>
      </w:pPr>
      <w:bookmarkStart w:colFirst="0" w:colLast="0" w:name="_99fyeerq3bam" w:id="2"/>
      <w:bookmarkEnd w:id="2"/>
      <w:r w:rsidDel="00000000" w:rsidR="00000000" w:rsidRPr="00000000">
        <w:rPr>
          <w:b w:val="1"/>
          <w:bCs w:val="1"/>
          <w:color w:val="000000"/>
          <w:rtl w:val="0"/>
        </w:rPr>
        <w:t xml:space="preserve">From</w:t>
      </w:r>
      <w:r w:rsidDel="00000000" w:rsidR="00000000" w:rsidRPr="00000000">
        <w:rPr>
          <w:color w:val="000000"/>
          <w:rtl w:val="0"/>
        </w:rPr>
        <w:t xml:space="preserve">: V. Jasey Herrington</w:t>
      </w:r>
    </w:p>
    <w:p w:rsidR="00000000" w:rsidDel="00000000" w:rsidP="00000000" w:rsidRDefault="00000000" w:rsidRPr="00000000" w14:paraId="00000004">
      <w:pPr>
        <w:pStyle w:val="Heading4"/>
        <w:spacing w:line="360" w:lineRule="auto"/>
        <w:rPr>
          <w:color w:val="000000"/>
        </w:rPr>
      </w:pPr>
      <w:bookmarkStart w:colFirst="0" w:colLast="0" w:name="_ni9rv2pyi8xq" w:id="3"/>
      <w:bookmarkEnd w:id="3"/>
      <w:r w:rsidDel="00000000" w:rsidR="00000000" w:rsidRPr="00000000">
        <w:rPr>
          <w:b w:val="1"/>
          <w:bCs w:val="1"/>
          <w:color w:val="000000"/>
          <w:rtl w:val="0"/>
        </w:rPr>
        <w:t xml:space="preserve">Re</w:t>
      </w:r>
      <w:r w:rsidDel="00000000" w:rsidR="00000000" w:rsidRPr="00000000">
        <w:rPr>
          <w:color w:val="000000"/>
          <w:rtl w:val="0"/>
        </w:rPr>
        <w:t xml:space="preserve">: Pedagogical Intervention Meta-Analysis</w:t>
      </w:r>
    </w:p>
    <w:p w:rsidR="00000000" w:rsidDel="00000000" w:rsidP="00000000" w:rsidRDefault="00000000" w:rsidRPr="00000000" w14:paraId="00000005">
      <w:pPr>
        <w:pStyle w:val="Heading4"/>
        <w:spacing w:line="360" w:lineRule="auto"/>
        <w:rPr>
          <w:color w:val="000000"/>
        </w:rPr>
      </w:pPr>
      <w:bookmarkStart w:colFirst="0" w:colLast="0" w:name="_r36cabfv4meb" w:id="4"/>
      <w:bookmarkEnd w:id="4"/>
      <w:r w:rsidDel="00000000" w:rsidR="00000000" w:rsidRPr="00000000">
        <w:rPr>
          <w:b w:val="1"/>
          <w:bCs w:val="1"/>
          <w:color w:val="000000"/>
          <w:rtl w:val="0"/>
        </w:rPr>
        <w:t xml:space="preserve">Date</w:t>
      </w:r>
      <w:r w:rsidDel="00000000" w:rsidR="00000000" w:rsidRPr="00000000">
        <w:rPr>
          <w:color w:val="000000"/>
          <w:rtl w:val="0"/>
        </w:rPr>
        <w:t xml:space="preserve">: January 17th, 2026</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spacing w:line="360" w:lineRule="auto"/>
        <w:rPr>
          <w:b w:val="1"/>
          <w:bCs w:val="1"/>
          <w:color w:val="000000"/>
        </w:rPr>
      </w:pPr>
      <w:bookmarkStart w:colFirst="0" w:colLast="0" w:name="_8xbcuh2nn353" w:id="5"/>
      <w:bookmarkEnd w:id="5"/>
      <w:r w:rsidDel="00000000" w:rsidR="00000000" w:rsidRPr="00000000">
        <w:rPr>
          <w:b w:val="1"/>
          <w:bCs w:val="1"/>
          <w:color w:val="000000"/>
          <w:rtl w:val="0"/>
        </w:rPr>
        <w:t xml:space="preserve">Audience and Purpose</w:t>
      </w:r>
    </w:p>
    <w:p w:rsidR="00000000" w:rsidDel="00000000" w:rsidP="00000000" w:rsidRDefault="00000000" w:rsidRPr="00000000" w14:paraId="00000009">
      <w:pPr>
        <w:spacing w:line="360" w:lineRule="auto"/>
        <w:rPr/>
      </w:pPr>
      <w:r w:rsidDel="00000000" w:rsidR="00000000" w:rsidRPr="00000000">
        <w:rPr>
          <w:rtl w:val="0"/>
        </w:rPr>
        <w:t xml:space="preserve">The Pedagogical Intervention assignment was completed as part of my work in ENGL 7040 Composition Theory: Issues and Approaches. It builds on my previous work and argument that academic advising functions not only as an administrative service in higher education, but as an opportunity for student growth and education in regard to academic literacies and student autonomy. The primary audience for this assignment include composition and higher education scholars interested in the ongoing work of education professionals and the function of non-classroom instruction. A secondary audience includes academic advisors seeking practical models for applying pedagogical theory in one-on-one advising contexts. </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The purpose of the project was to provide a hypothetical, multi-vocal example of how these theories can be applied in real-world advising interactions to create more accessible, meaningful learning experiences for undergraduate students. </w:t>
      </w:r>
    </w:p>
    <w:p w:rsidR="00000000" w:rsidDel="00000000" w:rsidP="00000000" w:rsidRDefault="00000000" w:rsidRPr="00000000" w14:paraId="0000000C">
      <w:pPr>
        <w:pStyle w:val="Heading3"/>
        <w:spacing w:line="360" w:lineRule="auto"/>
        <w:rPr>
          <w:b w:val="1"/>
          <w:bCs w:val="1"/>
          <w:color w:val="000000"/>
        </w:rPr>
      </w:pPr>
      <w:bookmarkStart w:colFirst="0" w:colLast="0" w:name="_1ub9p7jw9fxd" w:id="6"/>
      <w:bookmarkEnd w:id="6"/>
      <w:r w:rsidDel="00000000" w:rsidR="00000000" w:rsidRPr="00000000">
        <w:rPr>
          <w:b w:val="1"/>
          <w:bCs w:val="1"/>
          <w:color w:val="000000"/>
          <w:rtl w:val="0"/>
        </w:rPr>
        <w:t xml:space="preserve">Goals and Editing Process</w:t>
      </w:r>
    </w:p>
    <w:p w:rsidR="00000000" w:rsidDel="00000000" w:rsidP="00000000" w:rsidRDefault="00000000" w:rsidRPr="00000000" w14:paraId="0000000D">
      <w:pPr>
        <w:spacing w:line="360" w:lineRule="auto"/>
        <w:rPr/>
      </w:pPr>
      <w:r w:rsidDel="00000000" w:rsidR="00000000" w:rsidRPr="00000000">
        <w:rPr>
          <w:rtl w:val="0"/>
        </w:rPr>
        <w:t xml:space="preserve">My role in this project was that of sole author. I wrote a fictionalized advising scenario that was reflective of my actual experience as an academic advisor while also allowing room for application of theoretical principles. By constructing and annotating a conversation between an advisor (“Jasey”) and a student (“Skylar”), I was able to make visible the rhetorical decision making that often remains implicit in student-advisor relationships. This approach allowed me to move beyond abstract discussion of theory and demonstrate how advisors can intentionally design their appointments to facilitate learning transfer with their students through communication choices.</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Drawing on the idea that students rarely take action after encountering information only once, this project showcases repetition, reinforcement, and multi-modal communication as rhetorical strategies. A related goal was to demonstrate how advisors can support students with diverse learning needs by adjusting information dissemination and offering multiple formats for meaning-making in accordance with Universal Design for Learning (UDL).</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The creation and editing process was both practical and theoretical. I selected moments within the advising conversation where students most commonly feel confused or overwhelmed like GPA discussions, academic standing, and course planning. I included multimodal supports such as visual aids and written follow-up communication to demonstrate how UDL can be applied in academic contexts. The annotations served a dual function: to showcase my understanding of the mentioned theoretical frameworks and model reflective practice as a professional skill. </w:t>
      </w:r>
      <w:r w:rsidDel="00000000" w:rsidR="00000000" w:rsidRPr="00000000">
        <w:rPr>
          <w:rtl w:val="0"/>
        </w:rPr>
      </w:r>
    </w:p>
    <w:p w:rsidR="00000000" w:rsidDel="00000000" w:rsidP="00000000" w:rsidRDefault="00000000" w:rsidRPr="00000000" w14:paraId="00000012">
      <w:pPr>
        <w:pStyle w:val="Heading3"/>
        <w:spacing w:line="360" w:lineRule="auto"/>
        <w:rPr>
          <w:b w:val="1"/>
          <w:bCs w:val="1"/>
          <w:color w:val="000000"/>
        </w:rPr>
      </w:pPr>
      <w:bookmarkStart w:colFirst="0" w:colLast="0" w:name="_kh3alvjdx9nw" w:id="7"/>
      <w:bookmarkEnd w:id="7"/>
      <w:r w:rsidDel="00000000" w:rsidR="00000000" w:rsidRPr="00000000">
        <w:rPr>
          <w:b w:val="1"/>
          <w:bCs w:val="1"/>
          <w:color w:val="000000"/>
          <w:rtl w:val="0"/>
        </w:rPr>
        <w:t xml:space="preserve">Theories</w:t>
      </w:r>
    </w:p>
    <w:p w:rsidR="00000000" w:rsidDel="00000000" w:rsidP="00000000" w:rsidRDefault="00000000" w:rsidRPr="00000000" w14:paraId="00000013">
      <w:pPr>
        <w:spacing w:line="360" w:lineRule="auto"/>
        <w:rPr/>
      </w:pPr>
      <w:r w:rsidDel="00000000" w:rsidR="00000000" w:rsidRPr="00000000">
        <w:rPr>
          <w:rtl w:val="0"/>
        </w:rPr>
        <w:t xml:space="preserve">Multiliteracies pedagogy, including that from the New London Group, shaped my emphasis on meaning-making. Scholarship by Yancey on transfer of learning supported the focus on helping students recognize patterns across their learning experiences and Wysocki’s work on multimodality helped inform communication decisions. </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Ultimately, this project serves a central claim of my portfolio: technical and professional communication is not limited to the production of formal documents, practical applications, or classroom instruction. Instead, it operates in the interdisciplinary connections where everyday interactions and documents shape understanding, foster learning, and expand access.  </w:t>
      </w:r>
      <w:r w:rsidDel="00000000" w:rsidR="00000000" w:rsidRPr="00000000">
        <w:rPr>
          <w:rtl w:val="0"/>
        </w:rPr>
      </w:r>
    </w:p>
    <w:p w:rsidR="00000000" w:rsidDel="00000000" w:rsidP="00000000" w:rsidRDefault="00000000" w:rsidRPr="00000000" w14:paraId="00000016">
      <w:pPr>
        <w:pStyle w:val="Heading3"/>
        <w:spacing w:line="360" w:lineRule="auto"/>
        <w:rPr>
          <w:b w:val="1"/>
          <w:bCs w:val="1"/>
        </w:rPr>
      </w:pPr>
      <w:bookmarkStart w:colFirst="0" w:colLast="0" w:name="_pyg6ez919is4" w:id="8"/>
      <w:bookmarkEnd w:id="8"/>
      <w:r w:rsidDel="00000000" w:rsidR="00000000" w:rsidRPr="00000000">
        <w:rPr>
          <w:rtl w:val="0"/>
        </w:rPr>
      </w:r>
    </w:p>
    <w:p w:rsidR="00000000" w:rsidDel="00000000" w:rsidP="00000000" w:rsidRDefault="00000000" w:rsidRPr="00000000" w14:paraId="00000017">
      <w:pPr>
        <w:pStyle w:val="Heading3"/>
        <w:spacing w:line="360" w:lineRule="auto"/>
        <w:rPr>
          <w:b w:val="1"/>
          <w:bCs w:val="1"/>
        </w:rPr>
      </w:pPr>
      <w:bookmarkStart w:colFirst="0" w:colLast="0" w:name="_mxb9xr68lfwg" w:id="9"/>
      <w:bookmarkEnd w:id="9"/>
      <w:r w:rsidDel="00000000" w:rsidR="00000000" w:rsidRPr="00000000">
        <w:rPr>
          <w:rtl w:val="0"/>
        </w:rPr>
      </w:r>
    </w:p>
    <w:p w:rsidR="00000000" w:rsidDel="00000000" w:rsidP="00000000" w:rsidRDefault="00000000" w:rsidRPr="00000000" w14:paraId="00000018">
      <w:pPr>
        <w:pStyle w:val="Heading3"/>
        <w:spacing w:line="360" w:lineRule="auto"/>
        <w:rPr>
          <w:b w:val="1"/>
          <w:bCs w:val="1"/>
        </w:rPr>
      </w:pPr>
      <w:bookmarkStart w:colFirst="0" w:colLast="0" w:name="_3hij81is765g" w:id="10"/>
      <w:bookmarkEnd w:id="10"/>
      <w:r w:rsidDel="00000000" w:rsidR="00000000" w:rsidRPr="00000000">
        <w:rPr>
          <w:b w:val="1"/>
          <w:bCs w:val="1"/>
          <w:rtl w:val="0"/>
        </w:rPr>
        <w:t xml:space="preserve">Works Cited</w:t>
      </w:r>
    </w:p>
    <w:p w:rsidR="00000000" w:rsidDel="00000000" w:rsidP="00000000" w:rsidRDefault="00000000" w:rsidRPr="00000000" w14:paraId="00000019">
      <w:pPr>
        <w:spacing w:after="240" w:before="240" w:line="360" w:lineRule="auto"/>
        <w:ind w:left="360" w:hanging="360"/>
        <w:rPr/>
      </w:pPr>
      <w:r w:rsidDel="00000000" w:rsidR="00000000" w:rsidRPr="00000000">
        <w:rPr>
          <w:rtl w:val="0"/>
        </w:rPr>
        <w:t xml:space="preserve">CAST. (2018). </w:t>
      </w:r>
      <w:r w:rsidDel="00000000" w:rsidR="00000000" w:rsidRPr="00000000">
        <w:rPr>
          <w:i w:val="1"/>
          <w:iCs w:val="1"/>
          <w:rtl w:val="0"/>
        </w:rPr>
        <w:t xml:space="preserve">Universal design for learning guidelines version 2.2</w:t>
      </w:r>
      <w:r w:rsidDel="00000000" w:rsidR="00000000" w:rsidRPr="00000000">
        <w:rPr>
          <w:rtl w:val="0"/>
        </w:rPr>
        <w:t xml:space="preserve">. http://udlguidelines.cast.org</w:t>
      </w:r>
    </w:p>
    <w:p w:rsidR="00000000" w:rsidDel="00000000" w:rsidP="00000000" w:rsidRDefault="00000000" w:rsidRPr="00000000" w14:paraId="0000001A">
      <w:pPr>
        <w:spacing w:after="240" w:before="240" w:line="360" w:lineRule="auto"/>
        <w:ind w:left="360" w:hanging="360"/>
        <w:rPr>
          <w:color w:val="1155cc"/>
          <w:u w:val="single"/>
        </w:rPr>
      </w:pPr>
      <w:r w:rsidDel="00000000" w:rsidR="00000000" w:rsidRPr="00000000">
        <w:rPr>
          <w:rtl w:val="0"/>
        </w:rPr>
        <w:t xml:space="preserve">New London Group. (1996). A pedagogy of multiliteracies: Designing social futures. </w:t>
      </w:r>
      <w:r w:rsidDel="00000000" w:rsidR="00000000" w:rsidRPr="00000000">
        <w:rPr>
          <w:i w:val="1"/>
          <w:iCs w:val="1"/>
          <w:rtl w:val="0"/>
        </w:rPr>
        <w:t xml:space="preserve">Harvard Educational Review, 66</w:t>
      </w:r>
      <w:r w:rsidDel="00000000" w:rsidR="00000000" w:rsidRPr="00000000">
        <w:rPr>
          <w:rtl w:val="0"/>
        </w:rPr>
        <w:t xml:space="preserve">(1), 60–92.</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https://doi.org/10.17763/haer.66.1.17370n67v22j160u</w:t>
        </w:r>
      </w:hyperlink>
      <w:r w:rsidDel="00000000" w:rsidR="00000000" w:rsidRPr="00000000">
        <w:rPr>
          <w:rtl w:val="0"/>
        </w:rPr>
      </w:r>
    </w:p>
    <w:p w:rsidR="00000000" w:rsidDel="00000000" w:rsidP="00000000" w:rsidRDefault="00000000" w:rsidRPr="00000000" w14:paraId="0000001B">
      <w:pPr>
        <w:spacing w:after="240" w:before="240" w:line="360" w:lineRule="auto"/>
        <w:ind w:left="360" w:hanging="360"/>
        <w:rPr/>
      </w:pPr>
      <w:r w:rsidDel="00000000" w:rsidR="00000000" w:rsidRPr="00000000">
        <w:rPr>
          <w:rtl w:val="0"/>
        </w:rPr>
        <w:t xml:space="preserve">Wysocki, A. F. (2004). </w:t>
      </w:r>
      <w:r w:rsidDel="00000000" w:rsidR="00000000" w:rsidRPr="00000000">
        <w:rPr>
          <w:i w:val="1"/>
          <w:iCs w:val="1"/>
          <w:rtl w:val="0"/>
        </w:rPr>
        <w:t xml:space="preserve">Writing new media: Theory and applications for expanding the teaching of composition</w:t>
      </w:r>
      <w:r w:rsidDel="00000000" w:rsidR="00000000" w:rsidRPr="00000000">
        <w:rPr>
          <w:rtl w:val="0"/>
        </w:rPr>
        <w:t xml:space="preserve">. Utah State University Press.</w:t>
      </w:r>
    </w:p>
    <w:p w:rsidR="00000000" w:rsidDel="00000000" w:rsidP="00000000" w:rsidRDefault="00000000" w:rsidRPr="00000000" w14:paraId="0000001C">
      <w:pPr>
        <w:spacing w:after="240" w:before="240" w:line="360" w:lineRule="auto"/>
        <w:ind w:left="360" w:hanging="360"/>
        <w:rPr/>
      </w:pPr>
      <w:r w:rsidDel="00000000" w:rsidR="00000000" w:rsidRPr="00000000">
        <w:rPr>
          <w:rtl w:val="0"/>
        </w:rPr>
        <w:t xml:space="preserve">Yancey, K. B. (2004). Made not only in words: Composition in a new key. </w:t>
      </w:r>
      <w:r w:rsidDel="00000000" w:rsidR="00000000" w:rsidRPr="00000000">
        <w:rPr>
          <w:i w:val="1"/>
          <w:iCs w:val="1"/>
          <w:rtl w:val="0"/>
        </w:rPr>
        <w:t xml:space="preserve">College Composition and Communication, 56</w:t>
      </w:r>
      <w:r w:rsidDel="00000000" w:rsidR="00000000" w:rsidRPr="00000000">
        <w:rPr>
          <w:rtl w:val="0"/>
        </w:rPr>
        <w:t xml:space="preserve">(2), 297–328. https://doi.org/10.2307/4140664</w:t>
      </w:r>
    </w:p>
    <w:p w:rsidR="00000000" w:rsidDel="00000000" w:rsidP="00000000" w:rsidRDefault="00000000" w:rsidRPr="00000000" w14:paraId="0000001D">
      <w:pPr>
        <w:spacing w:line="360" w:lineRule="auto"/>
        <w:ind w:left="360" w:hanging="360"/>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7763/haer.66.1.17370n67v22j160u" TargetMode="External"/><Relationship Id="rId7" Type="http://schemas.openxmlformats.org/officeDocument/2006/relationships/hyperlink" Target="https://doi.org/10.17763/haer.66.1.17370n67v22j160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